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AE78" w14:textId="27CAFCD2" w:rsidR="000701CC" w:rsidRPr="009500C8" w:rsidRDefault="000701CC" w:rsidP="000701CC">
      <w:pPr>
        <w:spacing w:after="0"/>
        <w:jc w:val="both"/>
        <w:rPr>
          <w:rFonts w:asciiTheme="minorHAnsi" w:hAnsiTheme="minorHAnsi" w:cstheme="minorHAnsi"/>
          <w:b/>
          <w:color w:val="28A12D"/>
          <w:sz w:val="22"/>
          <w:szCs w:val="22"/>
        </w:rPr>
      </w:pPr>
    </w:p>
    <w:p w14:paraId="020F8FD8" w14:textId="77777777" w:rsidR="00337827" w:rsidRPr="009500C8" w:rsidRDefault="00337827" w:rsidP="008E3345">
      <w:pPr>
        <w:spacing w:after="0"/>
        <w:jc w:val="right"/>
        <w:rPr>
          <w:rFonts w:asciiTheme="minorHAnsi" w:hAnsiTheme="minorHAnsi" w:cstheme="minorHAnsi"/>
          <w:b/>
          <w:color w:val="28A12D"/>
          <w:sz w:val="22"/>
          <w:szCs w:val="22"/>
        </w:rPr>
      </w:pPr>
    </w:p>
    <w:p w14:paraId="75B59709" w14:textId="77777777" w:rsidR="00337827" w:rsidRPr="009500C8" w:rsidRDefault="00337827" w:rsidP="008E3345">
      <w:pPr>
        <w:spacing w:after="0"/>
        <w:jc w:val="right"/>
        <w:rPr>
          <w:rFonts w:asciiTheme="minorHAnsi" w:hAnsiTheme="minorHAnsi" w:cstheme="minorHAnsi"/>
          <w:b/>
          <w:color w:val="28A12D"/>
          <w:sz w:val="22"/>
          <w:szCs w:val="22"/>
        </w:rPr>
      </w:pPr>
    </w:p>
    <w:p w14:paraId="5FB9D22D" w14:textId="77777777" w:rsidR="00CE5A7B" w:rsidRPr="009447EF" w:rsidRDefault="00CE5A7B" w:rsidP="00CE5A7B">
      <w:pPr>
        <w:spacing w:after="0"/>
        <w:rPr>
          <w:rFonts w:ascii="Aptos" w:hAnsi="Aptos" w:cstheme="minorHAnsi"/>
          <w:b/>
          <w:sz w:val="30"/>
          <w:szCs w:val="30"/>
        </w:rPr>
      </w:pPr>
      <w:r w:rsidRPr="009447EF">
        <w:rPr>
          <w:rFonts w:ascii="Aptos" w:hAnsi="Aptos" w:cstheme="minorHAnsi"/>
          <w:b/>
          <w:sz w:val="30"/>
          <w:szCs w:val="30"/>
        </w:rPr>
        <w:t>“INFORMACIÓN GENERAL PREVIA DE LA CORREDURÍA DE SEGUROS”</w:t>
      </w:r>
    </w:p>
    <w:p w14:paraId="76C0E901" w14:textId="77777777" w:rsidR="00CE5A7B" w:rsidRPr="009447EF" w:rsidRDefault="00CE5A7B" w:rsidP="00CE5A7B">
      <w:pPr>
        <w:spacing w:after="0"/>
        <w:ind w:right="282"/>
        <w:jc w:val="both"/>
        <w:rPr>
          <w:rFonts w:ascii="Aptos" w:hAnsi="Aptos" w:cstheme="minorHAnsi"/>
          <w:sz w:val="22"/>
          <w:szCs w:val="22"/>
        </w:rPr>
      </w:pPr>
    </w:p>
    <w:p w14:paraId="61B7B157" w14:textId="77777777" w:rsidR="00CE5A7B" w:rsidRPr="009447EF" w:rsidRDefault="00CE5A7B" w:rsidP="00CE5A7B">
      <w:pPr>
        <w:spacing w:after="0"/>
        <w:ind w:right="282"/>
        <w:jc w:val="both"/>
        <w:rPr>
          <w:rFonts w:ascii="Aptos" w:hAnsi="Aptos" w:cstheme="minorHAnsi"/>
          <w:b/>
          <w:sz w:val="22"/>
          <w:szCs w:val="22"/>
        </w:rPr>
      </w:pPr>
      <w:r w:rsidRPr="009447EF">
        <w:rPr>
          <w:rFonts w:ascii="Aptos" w:hAnsi="Aptos" w:cstheme="minorHAnsi"/>
          <w:b/>
          <w:sz w:val="22"/>
          <w:szCs w:val="22"/>
        </w:rPr>
        <w:t>REF.:</w:t>
      </w:r>
    </w:p>
    <w:p w14:paraId="5F1B38AF" w14:textId="77777777" w:rsidR="00CE5A7B" w:rsidRPr="009447EF" w:rsidRDefault="00CE5A7B" w:rsidP="00CE5A7B">
      <w:pPr>
        <w:spacing w:after="0"/>
        <w:ind w:right="282"/>
        <w:jc w:val="both"/>
        <w:rPr>
          <w:rFonts w:ascii="Aptos" w:hAnsi="Aptos" w:cstheme="minorHAnsi"/>
          <w:b/>
          <w:sz w:val="22"/>
          <w:szCs w:val="22"/>
        </w:rPr>
      </w:pPr>
      <w:r w:rsidRPr="009447EF">
        <w:rPr>
          <w:rFonts w:ascii="Aptos" w:hAnsi="Aptos" w:cstheme="minorHAnsi"/>
          <w:b/>
          <w:sz w:val="22"/>
          <w:szCs w:val="22"/>
        </w:rPr>
        <w:t>TOMADOR:</w:t>
      </w:r>
      <w:r w:rsidRPr="009447EF">
        <w:rPr>
          <w:rFonts w:ascii="Aptos" w:hAnsi="Aptos" w:cstheme="minorHAnsi"/>
          <w:b/>
          <w:sz w:val="22"/>
          <w:szCs w:val="22"/>
        </w:rPr>
        <w:tab/>
      </w:r>
      <w:r w:rsidRPr="009447EF">
        <w:rPr>
          <w:rFonts w:ascii="Aptos" w:hAnsi="Aptos" w:cstheme="minorHAnsi"/>
          <w:b/>
          <w:sz w:val="22"/>
          <w:szCs w:val="22"/>
        </w:rPr>
        <w:tab/>
      </w:r>
      <w:r w:rsidRPr="009447EF">
        <w:rPr>
          <w:rFonts w:ascii="Aptos" w:hAnsi="Aptos" w:cstheme="minorHAnsi"/>
          <w:b/>
          <w:sz w:val="22"/>
          <w:szCs w:val="22"/>
        </w:rPr>
        <w:tab/>
        <w:t>[</w:t>
      </w:r>
      <w:proofErr w:type="spellStart"/>
      <w:r w:rsidRPr="009447EF">
        <w:rPr>
          <w:rFonts w:ascii="Aptos" w:hAnsi="Aptos" w:cstheme="minorHAnsi"/>
          <w:b/>
          <w:sz w:val="22"/>
          <w:szCs w:val="22"/>
        </w:rPr>
        <w:t>CLIENTES.sNombreLargo</w:t>
      </w:r>
      <w:proofErr w:type="spellEnd"/>
      <w:r w:rsidRPr="009447EF">
        <w:rPr>
          <w:rFonts w:ascii="Aptos" w:hAnsi="Aptos" w:cstheme="minorHAnsi"/>
          <w:b/>
          <w:sz w:val="22"/>
          <w:szCs w:val="22"/>
        </w:rPr>
        <w:t>]</w:t>
      </w:r>
    </w:p>
    <w:p w14:paraId="325A88DC" w14:textId="77777777" w:rsidR="00CE5A7B" w:rsidRPr="009447EF" w:rsidRDefault="00CE5A7B" w:rsidP="00CE5A7B">
      <w:pPr>
        <w:spacing w:after="0"/>
        <w:ind w:right="282"/>
        <w:jc w:val="both"/>
        <w:rPr>
          <w:rFonts w:ascii="Aptos" w:hAnsi="Aptos" w:cstheme="minorHAnsi"/>
          <w:b/>
          <w:sz w:val="22"/>
          <w:szCs w:val="22"/>
        </w:rPr>
      </w:pPr>
      <w:r w:rsidRPr="009447EF">
        <w:rPr>
          <w:rFonts w:ascii="Aptos" w:hAnsi="Aptos" w:cstheme="minorHAnsi"/>
          <w:b/>
          <w:sz w:val="22"/>
          <w:szCs w:val="22"/>
        </w:rPr>
        <w:t>NÚMERO DOCUMENTO:</w:t>
      </w:r>
      <w:r w:rsidRPr="009447EF">
        <w:rPr>
          <w:rFonts w:ascii="Aptos" w:hAnsi="Aptos" w:cstheme="minorHAnsi"/>
          <w:b/>
          <w:sz w:val="22"/>
          <w:szCs w:val="22"/>
        </w:rPr>
        <w:tab/>
      </w:r>
      <w:bookmarkStart w:id="0" w:name="_Hlk74847363"/>
      <w:r w:rsidRPr="009447EF">
        <w:rPr>
          <w:rFonts w:ascii="Aptos" w:hAnsi="Aptos" w:cstheme="minorHAnsi"/>
          <w:b/>
          <w:sz w:val="22"/>
          <w:szCs w:val="22"/>
        </w:rPr>
        <w:t>[</w:t>
      </w:r>
      <w:proofErr w:type="spellStart"/>
      <w:r w:rsidRPr="009447EF">
        <w:rPr>
          <w:rFonts w:ascii="Aptos" w:hAnsi="Aptos" w:cstheme="minorHAnsi"/>
          <w:b/>
          <w:sz w:val="22"/>
          <w:szCs w:val="22"/>
        </w:rPr>
        <w:t>CLIENTES.sNif</w:t>
      </w:r>
      <w:proofErr w:type="spellEnd"/>
      <w:r w:rsidRPr="009447EF">
        <w:rPr>
          <w:rFonts w:ascii="Aptos" w:hAnsi="Aptos" w:cstheme="minorHAnsi"/>
          <w:b/>
          <w:sz w:val="22"/>
          <w:szCs w:val="22"/>
        </w:rPr>
        <w:t>]</w:t>
      </w:r>
      <w:bookmarkEnd w:id="0"/>
    </w:p>
    <w:p w14:paraId="5641405B" w14:textId="77777777" w:rsidR="00CE5A7B" w:rsidRPr="009447EF" w:rsidRDefault="00CE5A7B" w:rsidP="00CE5A7B">
      <w:pPr>
        <w:spacing w:after="0"/>
        <w:ind w:right="282"/>
        <w:jc w:val="both"/>
        <w:rPr>
          <w:rFonts w:ascii="Aptos" w:hAnsi="Aptos" w:cstheme="minorHAnsi"/>
          <w:b/>
          <w:sz w:val="22"/>
          <w:szCs w:val="22"/>
        </w:rPr>
      </w:pPr>
      <w:r w:rsidRPr="009447EF">
        <w:rPr>
          <w:rFonts w:ascii="Aptos" w:hAnsi="Aptos" w:cstheme="minorHAnsi"/>
          <w:b/>
          <w:sz w:val="22"/>
          <w:szCs w:val="22"/>
        </w:rPr>
        <w:t>SEGURO:</w:t>
      </w:r>
      <w:r w:rsidRPr="009447EF">
        <w:rPr>
          <w:rFonts w:ascii="Aptos" w:hAnsi="Aptos" w:cstheme="minorHAnsi"/>
          <w:b/>
          <w:sz w:val="22"/>
          <w:szCs w:val="22"/>
        </w:rPr>
        <w:tab/>
      </w:r>
      <w:r w:rsidRPr="009447EF">
        <w:rPr>
          <w:rFonts w:ascii="Aptos" w:hAnsi="Aptos" w:cstheme="minorHAnsi"/>
          <w:b/>
          <w:sz w:val="22"/>
          <w:szCs w:val="22"/>
        </w:rPr>
        <w:tab/>
      </w:r>
      <w:r w:rsidRPr="009447EF">
        <w:rPr>
          <w:rFonts w:ascii="Aptos" w:hAnsi="Aptos" w:cstheme="minorHAnsi"/>
          <w:b/>
          <w:sz w:val="22"/>
          <w:szCs w:val="22"/>
        </w:rPr>
        <w:tab/>
        <w:t>[</w:t>
      </w:r>
      <w:proofErr w:type="spellStart"/>
      <w:r w:rsidRPr="009447EF">
        <w:rPr>
          <w:rFonts w:ascii="Aptos" w:hAnsi="Aptos" w:cstheme="minorHAnsi"/>
          <w:b/>
          <w:sz w:val="22"/>
          <w:szCs w:val="22"/>
        </w:rPr>
        <w:t>POLIZAS.sCodRamo</w:t>
      </w:r>
      <w:proofErr w:type="spellEnd"/>
      <w:r w:rsidRPr="009447EF">
        <w:rPr>
          <w:rFonts w:ascii="Aptos" w:hAnsi="Aptos" w:cstheme="minorHAnsi"/>
          <w:b/>
          <w:sz w:val="22"/>
          <w:szCs w:val="22"/>
        </w:rPr>
        <w:t>]</w:t>
      </w:r>
    </w:p>
    <w:p w14:paraId="204EB422" w14:textId="0B471695" w:rsidR="00CE5A7B" w:rsidRPr="009447EF" w:rsidRDefault="00CE5A7B" w:rsidP="00CE5A7B">
      <w:pPr>
        <w:spacing w:after="0"/>
        <w:ind w:right="282"/>
        <w:jc w:val="both"/>
        <w:rPr>
          <w:rFonts w:ascii="Aptos" w:hAnsi="Aptos" w:cstheme="minorHAnsi"/>
          <w:b/>
          <w:sz w:val="22"/>
          <w:szCs w:val="22"/>
        </w:rPr>
      </w:pPr>
      <w:r w:rsidRPr="009447EF">
        <w:rPr>
          <w:rFonts w:ascii="Aptos" w:hAnsi="Aptos" w:cstheme="minorHAnsi"/>
          <w:b/>
          <w:sz w:val="22"/>
          <w:szCs w:val="22"/>
        </w:rPr>
        <w:t>FECHA EFECTO:</w:t>
      </w:r>
      <w:r w:rsidRPr="009447EF">
        <w:rPr>
          <w:rFonts w:ascii="Aptos" w:hAnsi="Aptos" w:cstheme="minorHAnsi"/>
          <w:b/>
          <w:sz w:val="22"/>
          <w:szCs w:val="22"/>
        </w:rPr>
        <w:tab/>
      </w:r>
      <w:r w:rsidRPr="009447EF">
        <w:rPr>
          <w:rFonts w:ascii="Aptos" w:hAnsi="Aptos" w:cstheme="minorHAnsi"/>
          <w:b/>
          <w:sz w:val="22"/>
          <w:szCs w:val="22"/>
        </w:rPr>
        <w:tab/>
        <w:t>[</w:t>
      </w:r>
      <w:proofErr w:type="spellStart"/>
      <w:r w:rsidRPr="009447EF">
        <w:rPr>
          <w:rFonts w:ascii="Aptos" w:hAnsi="Aptos" w:cstheme="minorHAnsi"/>
          <w:b/>
          <w:sz w:val="22"/>
          <w:szCs w:val="22"/>
        </w:rPr>
        <w:t>POLIZAS.sFecEfecto</w:t>
      </w:r>
      <w:proofErr w:type="spellEnd"/>
      <w:r w:rsidRPr="009447EF">
        <w:rPr>
          <w:rFonts w:ascii="Aptos" w:hAnsi="Aptos" w:cstheme="minorHAnsi"/>
          <w:b/>
          <w:sz w:val="22"/>
          <w:szCs w:val="22"/>
        </w:rPr>
        <w:t>]</w:t>
      </w:r>
    </w:p>
    <w:p w14:paraId="0661445D" w14:textId="77777777" w:rsidR="00CE5A7B" w:rsidRPr="009447EF" w:rsidRDefault="00CE5A7B" w:rsidP="00CE5A7B">
      <w:pPr>
        <w:spacing w:after="0"/>
        <w:ind w:left="284" w:right="282"/>
        <w:jc w:val="both"/>
        <w:rPr>
          <w:rFonts w:ascii="Aptos" w:hAnsi="Aptos" w:cstheme="minorHAnsi"/>
          <w:sz w:val="22"/>
          <w:szCs w:val="22"/>
        </w:rPr>
      </w:pPr>
    </w:p>
    <w:p w14:paraId="5C884640"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
          <w:bCs/>
          <w:sz w:val="20"/>
          <w:szCs w:val="20"/>
        </w:rPr>
        <w:t>Turi Gestió, S.L.U.</w:t>
      </w:r>
      <w:r w:rsidRPr="009447EF">
        <w:rPr>
          <w:rFonts w:ascii="Aptos" w:hAnsi="Aptos" w:cstheme="minorHAnsi"/>
          <w:bCs/>
          <w:sz w:val="20"/>
          <w:szCs w:val="20"/>
        </w:rPr>
        <w:t xml:space="preserve"> entidad con domicilio social en el municipio de Sant Boi de Llobregat, provincia de Barcelona, </w:t>
      </w:r>
      <w:proofErr w:type="spellStart"/>
      <w:r w:rsidRPr="009447EF">
        <w:rPr>
          <w:rFonts w:ascii="Aptos" w:hAnsi="Aptos" w:cstheme="minorHAnsi"/>
          <w:bCs/>
          <w:sz w:val="20"/>
          <w:szCs w:val="20"/>
        </w:rPr>
        <w:t>Crta</w:t>
      </w:r>
      <w:proofErr w:type="spellEnd"/>
      <w:r w:rsidRPr="009447EF">
        <w:rPr>
          <w:rFonts w:ascii="Aptos" w:hAnsi="Aptos" w:cstheme="minorHAnsi"/>
          <w:bCs/>
          <w:sz w:val="20"/>
          <w:szCs w:val="20"/>
        </w:rPr>
        <w:t>. Santa Creu de Calafell 65 con C.I.F. B-62201538 está autorizada por la DGPFAT (</w:t>
      </w:r>
      <w:proofErr w:type="spellStart"/>
      <w:r w:rsidRPr="009447EF">
        <w:rPr>
          <w:rFonts w:ascii="Aptos" w:hAnsi="Aptos" w:cstheme="minorHAnsi"/>
          <w:bCs/>
          <w:sz w:val="20"/>
          <w:szCs w:val="20"/>
        </w:rPr>
        <w:t>Direcció</w:t>
      </w:r>
      <w:proofErr w:type="spellEnd"/>
      <w:r w:rsidRPr="009447EF">
        <w:rPr>
          <w:rFonts w:ascii="Aptos" w:hAnsi="Aptos" w:cstheme="minorHAnsi"/>
          <w:bCs/>
          <w:sz w:val="20"/>
          <w:szCs w:val="20"/>
        </w:rPr>
        <w:t xml:space="preserve"> General de Política </w:t>
      </w:r>
      <w:proofErr w:type="spellStart"/>
      <w:r w:rsidRPr="009447EF">
        <w:rPr>
          <w:rFonts w:ascii="Aptos" w:hAnsi="Aptos" w:cstheme="minorHAnsi"/>
          <w:bCs/>
          <w:sz w:val="20"/>
          <w:szCs w:val="20"/>
        </w:rPr>
        <w:t>Financera</w:t>
      </w:r>
      <w:proofErr w:type="spellEnd"/>
      <w:r w:rsidRPr="009447EF">
        <w:rPr>
          <w:rFonts w:ascii="Aptos" w:hAnsi="Aptos" w:cstheme="minorHAnsi"/>
          <w:bCs/>
          <w:sz w:val="20"/>
          <w:szCs w:val="20"/>
        </w:rPr>
        <w:t xml:space="preserve">, </w:t>
      </w:r>
      <w:proofErr w:type="spellStart"/>
      <w:r w:rsidRPr="009447EF">
        <w:rPr>
          <w:rFonts w:ascii="Aptos" w:hAnsi="Aptos" w:cstheme="minorHAnsi"/>
          <w:bCs/>
          <w:sz w:val="20"/>
          <w:szCs w:val="20"/>
        </w:rPr>
        <w:t>Assegurances</w:t>
      </w:r>
      <w:proofErr w:type="spellEnd"/>
      <w:r w:rsidRPr="009447EF">
        <w:rPr>
          <w:rFonts w:ascii="Aptos" w:hAnsi="Aptos" w:cstheme="minorHAnsi"/>
          <w:bCs/>
          <w:sz w:val="20"/>
          <w:szCs w:val="20"/>
        </w:rPr>
        <w:t xml:space="preserve"> i </w:t>
      </w:r>
      <w:proofErr w:type="spellStart"/>
      <w:r w:rsidRPr="009447EF">
        <w:rPr>
          <w:rFonts w:ascii="Aptos" w:hAnsi="Aptos" w:cstheme="minorHAnsi"/>
          <w:bCs/>
          <w:sz w:val="20"/>
          <w:szCs w:val="20"/>
        </w:rPr>
        <w:t>Tresor</w:t>
      </w:r>
      <w:proofErr w:type="spellEnd"/>
      <w:r w:rsidRPr="009447EF">
        <w:rPr>
          <w:rFonts w:ascii="Aptos" w:hAnsi="Aptos" w:cstheme="minorHAnsi"/>
          <w:bCs/>
          <w:sz w:val="20"/>
          <w:szCs w:val="20"/>
        </w:rPr>
        <w:t xml:space="preserve"> de la Generalitat de Catalunya) como correduría de seguros con clave J-226GC. Consta inscrita en el Registro Mercantil de Barcelona: tomo 32549, folio 104, hoja B-215073, inscripción 1ª (en adelante, </w:t>
      </w:r>
      <w:r w:rsidRPr="009447EF">
        <w:rPr>
          <w:rFonts w:ascii="Aptos" w:hAnsi="Aptos" w:cstheme="minorHAnsi"/>
          <w:b/>
          <w:bCs/>
          <w:sz w:val="20"/>
          <w:szCs w:val="20"/>
        </w:rPr>
        <w:t>“La Correduría”</w:t>
      </w:r>
      <w:r w:rsidRPr="009447EF">
        <w:rPr>
          <w:rFonts w:ascii="Aptos" w:hAnsi="Aptos" w:cstheme="minorHAnsi"/>
          <w:bCs/>
          <w:sz w:val="20"/>
          <w:szCs w:val="20"/>
        </w:rPr>
        <w:t>).</w:t>
      </w:r>
    </w:p>
    <w:p w14:paraId="72FBF45E" w14:textId="77777777" w:rsidR="00CE5A7B" w:rsidRPr="009447EF" w:rsidRDefault="00CE5A7B" w:rsidP="00CE5A7B">
      <w:pPr>
        <w:spacing w:after="0"/>
        <w:jc w:val="both"/>
        <w:rPr>
          <w:rFonts w:ascii="Aptos" w:hAnsi="Aptos" w:cstheme="minorHAnsi"/>
          <w:bCs/>
          <w:sz w:val="20"/>
          <w:szCs w:val="20"/>
        </w:rPr>
      </w:pPr>
    </w:p>
    <w:p w14:paraId="46DAA24C" w14:textId="77777777" w:rsidR="00CE5A7B" w:rsidRPr="009447EF" w:rsidRDefault="00CE5A7B" w:rsidP="00CE5A7B">
      <w:pPr>
        <w:spacing w:after="0"/>
        <w:jc w:val="both"/>
        <w:rPr>
          <w:rFonts w:ascii="Aptos" w:hAnsi="Aptos" w:cstheme="minorHAnsi"/>
          <w:bCs/>
          <w:sz w:val="20"/>
          <w:szCs w:val="20"/>
          <w:lang w:val="es-ES_tradnl"/>
        </w:rPr>
      </w:pPr>
      <w:r w:rsidRPr="009447EF">
        <w:rPr>
          <w:rFonts w:ascii="Aptos" w:hAnsi="Aptos" w:cstheme="minorHAnsi"/>
          <w:bCs/>
          <w:sz w:val="20"/>
          <w:szCs w:val="20"/>
          <w:lang w:val="es-ES_tradnl"/>
        </w:rPr>
        <w:t>En cumplimiento de lo establecido en el art. 173 del Real Decreto-ley 3/2020, de 4 de febrero, a continuación, le facilitamos la Información General Previa de esta correduría de seguros sobre su actuación en la distribución de seguros:</w:t>
      </w:r>
    </w:p>
    <w:p w14:paraId="4C912A08" w14:textId="77777777" w:rsidR="00CE5A7B" w:rsidRPr="009447EF" w:rsidRDefault="00CE5A7B" w:rsidP="00CE5A7B">
      <w:pPr>
        <w:spacing w:after="0"/>
        <w:jc w:val="both"/>
        <w:rPr>
          <w:rFonts w:ascii="Aptos" w:hAnsi="Aptos" w:cstheme="minorHAnsi"/>
          <w:bCs/>
          <w:sz w:val="20"/>
          <w:szCs w:val="20"/>
        </w:rPr>
      </w:pPr>
    </w:p>
    <w:p w14:paraId="78064860"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
          <w:sz w:val="20"/>
          <w:szCs w:val="20"/>
        </w:rPr>
        <w:t xml:space="preserve">1. Actividad: </w:t>
      </w:r>
      <w:r w:rsidRPr="009447EF">
        <w:rPr>
          <w:rFonts w:ascii="Aptos" w:hAnsi="Aptos" w:cstheme="minorHAnsi"/>
          <w:bCs/>
          <w:sz w:val="20"/>
          <w:szCs w:val="20"/>
          <w:lang w:val="es-ES_tradnl"/>
        </w:rPr>
        <w:t>La Sociedad, como correduría de seguros, realiza la actividad de distribución de seguros, ofreciendo asesoramiento independiente basado en un análisis objetivo y personalizado, a quienes demanden la cobertura de riesgos.</w:t>
      </w:r>
      <w:r w:rsidRPr="009447EF">
        <w:rPr>
          <w:rFonts w:ascii="Aptos" w:hAnsi="Aptos" w:cstheme="minorHAnsi"/>
          <w:bCs/>
          <w:sz w:val="20"/>
          <w:szCs w:val="20"/>
        </w:rPr>
        <w:t xml:space="preserve"> </w:t>
      </w:r>
    </w:p>
    <w:p w14:paraId="2413720E" w14:textId="77777777" w:rsidR="00CE5A7B" w:rsidRPr="009447EF" w:rsidRDefault="00CE5A7B" w:rsidP="00CE5A7B">
      <w:pPr>
        <w:spacing w:after="0"/>
        <w:jc w:val="both"/>
        <w:rPr>
          <w:rFonts w:ascii="Aptos" w:hAnsi="Aptos" w:cstheme="minorHAnsi"/>
          <w:bCs/>
          <w:sz w:val="10"/>
          <w:szCs w:val="10"/>
        </w:rPr>
      </w:pPr>
    </w:p>
    <w:p w14:paraId="190B3B36"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
          <w:sz w:val="20"/>
          <w:szCs w:val="20"/>
        </w:rPr>
        <w:t>2. Garantías:</w:t>
      </w:r>
      <w:r w:rsidRPr="009447EF">
        <w:rPr>
          <w:rFonts w:ascii="Aptos" w:hAnsi="Aptos" w:cstheme="minorHAnsi"/>
          <w:b/>
          <w:bCs/>
          <w:sz w:val="20"/>
          <w:szCs w:val="20"/>
        </w:rPr>
        <w:t xml:space="preserve"> </w:t>
      </w:r>
      <w:r w:rsidRPr="009447EF">
        <w:rPr>
          <w:rFonts w:ascii="Aptos" w:hAnsi="Aptos" w:cstheme="minorHAnsi"/>
          <w:bCs/>
          <w:sz w:val="20"/>
          <w:szCs w:val="20"/>
        </w:rPr>
        <w:t xml:space="preserve">La Correduría ha suscrito un seguro de responsabilidad civil profesional con Mapfre España, Compañía de Seguros y Reaseguros, S.A. y acredita su capacidad financiera mediante la suscripción de un seguro de caución con </w:t>
      </w:r>
      <w:proofErr w:type="spellStart"/>
      <w:r w:rsidRPr="009447EF">
        <w:rPr>
          <w:rFonts w:ascii="Aptos" w:hAnsi="Aptos" w:cstheme="minorHAnsi"/>
          <w:bCs/>
          <w:sz w:val="20"/>
          <w:szCs w:val="20"/>
        </w:rPr>
        <w:t>Atradius</w:t>
      </w:r>
      <w:proofErr w:type="spellEnd"/>
      <w:r w:rsidRPr="009447EF">
        <w:rPr>
          <w:rFonts w:ascii="Aptos" w:hAnsi="Aptos" w:cstheme="minorHAnsi"/>
          <w:bCs/>
          <w:sz w:val="20"/>
          <w:szCs w:val="20"/>
        </w:rPr>
        <w:t xml:space="preserve"> Crédito y Caución, S.A., en ambos casos conforme al art. 157.1.g) y f) del Real Decreto-ley 3/2020, de 4 de febrero.</w:t>
      </w:r>
    </w:p>
    <w:p w14:paraId="5EEB3BF7" w14:textId="77777777" w:rsidR="00CE5A7B" w:rsidRPr="009447EF" w:rsidRDefault="00CE5A7B" w:rsidP="00CE5A7B">
      <w:pPr>
        <w:spacing w:after="0"/>
        <w:jc w:val="both"/>
        <w:rPr>
          <w:rFonts w:ascii="Aptos" w:hAnsi="Aptos" w:cstheme="minorHAnsi"/>
          <w:bCs/>
          <w:sz w:val="10"/>
          <w:szCs w:val="10"/>
        </w:rPr>
      </w:pPr>
    </w:p>
    <w:p w14:paraId="01685929" w14:textId="77777777" w:rsidR="00CE5A7B" w:rsidRPr="009447EF" w:rsidRDefault="00CE5A7B" w:rsidP="00CE5A7B">
      <w:pPr>
        <w:spacing w:after="0"/>
        <w:jc w:val="both"/>
        <w:rPr>
          <w:rFonts w:ascii="Aptos" w:hAnsi="Aptos" w:cstheme="minorHAnsi"/>
          <w:b/>
          <w:bCs/>
          <w:sz w:val="20"/>
          <w:szCs w:val="20"/>
          <w:lang w:val="es-ES_tradnl"/>
        </w:rPr>
      </w:pPr>
      <w:r w:rsidRPr="009447EF">
        <w:rPr>
          <w:rFonts w:ascii="Aptos" w:hAnsi="Aptos" w:cstheme="minorHAnsi"/>
          <w:b/>
          <w:bCs/>
          <w:sz w:val="20"/>
          <w:szCs w:val="20"/>
        </w:rPr>
        <w:t xml:space="preserve"> </w:t>
      </w:r>
      <w:r w:rsidRPr="009447EF">
        <w:rPr>
          <w:rFonts w:ascii="Aptos" w:hAnsi="Aptos" w:cstheme="minorHAnsi"/>
          <w:b/>
          <w:sz w:val="20"/>
          <w:szCs w:val="20"/>
        </w:rPr>
        <w:t>3. Ausencia de vínculos:</w:t>
      </w:r>
      <w:r w:rsidRPr="009447EF">
        <w:rPr>
          <w:rFonts w:ascii="Aptos" w:hAnsi="Aptos" w:cstheme="minorHAnsi"/>
          <w:bCs/>
          <w:sz w:val="20"/>
          <w:szCs w:val="20"/>
        </w:rPr>
        <w:t xml:space="preserve"> Se le informa que La Correduría no ostenta una participación directa o indirecta de los derechos de voto o del capital de ninguna aseguradora y, a su vez, ninguna aseguradora ostenta una participación directa o indirecta de los derechos de voto o del capital de la Correduría.</w:t>
      </w:r>
    </w:p>
    <w:p w14:paraId="1B3138FD" w14:textId="77777777" w:rsidR="00CE5A7B" w:rsidRPr="009447EF" w:rsidRDefault="00CE5A7B" w:rsidP="00CE5A7B">
      <w:pPr>
        <w:spacing w:after="0"/>
        <w:jc w:val="both"/>
        <w:rPr>
          <w:rFonts w:ascii="Aptos" w:hAnsi="Aptos" w:cstheme="minorHAnsi"/>
          <w:b/>
          <w:bCs/>
          <w:sz w:val="10"/>
          <w:szCs w:val="10"/>
        </w:rPr>
      </w:pPr>
    </w:p>
    <w:p w14:paraId="4A63F324" w14:textId="77777777" w:rsidR="00CE5A7B" w:rsidRPr="009447EF" w:rsidRDefault="00CE5A7B" w:rsidP="00CE5A7B">
      <w:pPr>
        <w:spacing w:after="0"/>
        <w:jc w:val="both"/>
        <w:rPr>
          <w:rFonts w:ascii="Aptos" w:hAnsi="Aptos" w:cstheme="minorHAnsi"/>
          <w:bCs/>
          <w:sz w:val="20"/>
          <w:szCs w:val="20"/>
          <w:lang w:val="es-ES_tradnl"/>
        </w:rPr>
      </w:pPr>
      <w:r w:rsidRPr="009447EF">
        <w:rPr>
          <w:rFonts w:ascii="Aptos" w:hAnsi="Aptos" w:cstheme="minorHAnsi"/>
          <w:b/>
          <w:sz w:val="20"/>
          <w:szCs w:val="20"/>
        </w:rPr>
        <w:t>4. Actuación:</w:t>
      </w:r>
      <w:r w:rsidRPr="009447EF">
        <w:rPr>
          <w:rFonts w:ascii="Aptos" w:hAnsi="Aptos" w:cstheme="minorHAnsi"/>
          <w:bCs/>
          <w:sz w:val="20"/>
          <w:szCs w:val="20"/>
          <w:lang w:val="es-ES_tradnl"/>
        </w:rPr>
        <w:t xml:space="preserve"> La Correduría no actúa en nombre y por cuenta de las entidades aseguradoras, sino en representación de Usted, que es nuestro cliente.  </w:t>
      </w:r>
    </w:p>
    <w:p w14:paraId="77737804" w14:textId="77777777" w:rsidR="00CE5A7B" w:rsidRPr="009447EF" w:rsidRDefault="00CE5A7B" w:rsidP="00CE5A7B">
      <w:pPr>
        <w:spacing w:after="0"/>
        <w:jc w:val="both"/>
        <w:rPr>
          <w:rFonts w:ascii="Aptos" w:hAnsi="Aptos" w:cstheme="minorHAnsi"/>
          <w:b/>
          <w:bCs/>
          <w:sz w:val="10"/>
          <w:szCs w:val="10"/>
        </w:rPr>
      </w:pPr>
    </w:p>
    <w:p w14:paraId="23D021FF" w14:textId="77777777" w:rsidR="00CE5A7B" w:rsidRPr="009447EF" w:rsidRDefault="00CE5A7B" w:rsidP="00CE5A7B">
      <w:pPr>
        <w:spacing w:after="0"/>
        <w:jc w:val="both"/>
        <w:rPr>
          <w:rFonts w:ascii="Aptos" w:hAnsi="Aptos" w:cstheme="minorHAnsi"/>
          <w:b/>
          <w:sz w:val="20"/>
          <w:szCs w:val="20"/>
        </w:rPr>
      </w:pPr>
      <w:r w:rsidRPr="009447EF">
        <w:rPr>
          <w:rFonts w:ascii="Aptos" w:hAnsi="Aptos" w:cstheme="minorHAnsi"/>
          <w:b/>
          <w:sz w:val="20"/>
          <w:szCs w:val="20"/>
        </w:rPr>
        <w:t>5. Criterios en la selección de productos / Análisis objetivo:</w:t>
      </w:r>
      <w:r w:rsidRPr="009447EF">
        <w:rPr>
          <w:rFonts w:ascii="Aptos" w:hAnsi="Aptos" w:cstheme="minorHAnsi"/>
          <w:b/>
          <w:bCs/>
          <w:sz w:val="20"/>
          <w:szCs w:val="20"/>
        </w:rPr>
        <w:t xml:space="preserve"> </w:t>
      </w:r>
      <w:r w:rsidRPr="009447EF">
        <w:rPr>
          <w:rFonts w:ascii="Aptos" w:hAnsi="Aptos" w:cstheme="minorHAnsi"/>
          <w:bCs/>
          <w:sz w:val="20"/>
          <w:szCs w:val="20"/>
        </w:rPr>
        <w:t>La Correduría ofrece a sus clientes un asesoramiento basado en un análisis objetivo y personalizado. Este asesoramiento se presta sobre la base del análisis de un número suficiente de contratos de seguro ofrecidos en el mercado, de modo que podamos formular una recomendación personalizada, ateniéndonos a criterios profesionales, respecto al contrato de seguro que sería adecuado a las necesidades del cliente.</w:t>
      </w:r>
    </w:p>
    <w:p w14:paraId="02B506E3" w14:textId="77777777" w:rsidR="00CE5A7B" w:rsidRPr="009447EF" w:rsidRDefault="00CE5A7B" w:rsidP="00CE5A7B">
      <w:pPr>
        <w:spacing w:after="0"/>
        <w:jc w:val="both"/>
        <w:rPr>
          <w:rFonts w:ascii="Aptos" w:hAnsi="Aptos" w:cstheme="minorHAnsi"/>
          <w:bCs/>
          <w:sz w:val="10"/>
          <w:szCs w:val="10"/>
        </w:rPr>
      </w:pPr>
    </w:p>
    <w:p w14:paraId="75D5DE5F"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
          <w:sz w:val="20"/>
          <w:szCs w:val="20"/>
        </w:rPr>
        <w:t>6. Entidades aseguradoras y mutuas:</w:t>
      </w:r>
      <w:r w:rsidRPr="009447EF">
        <w:rPr>
          <w:rFonts w:ascii="Aptos" w:hAnsi="Aptos" w:cstheme="minorHAnsi"/>
          <w:b/>
          <w:bCs/>
          <w:sz w:val="20"/>
          <w:szCs w:val="20"/>
        </w:rPr>
        <w:t xml:space="preserve"> </w:t>
      </w:r>
      <w:r w:rsidRPr="009447EF">
        <w:rPr>
          <w:rFonts w:ascii="Aptos" w:hAnsi="Aptos" w:cstheme="minorHAnsi"/>
          <w:bCs/>
          <w:sz w:val="20"/>
          <w:szCs w:val="20"/>
        </w:rPr>
        <w:t xml:space="preserve">La Correduría ha otorgado carta de condiciones con las siguientes entidades aseguradoras y mutuas: Caja De Seguros Reunidos, Compañía De Seguros Y Reaseguros, S.A. (Caser); Mapfre España, </w:t>
      </w:r>
    </w:p>
    <w:p w14:paraId="28C0CD4A"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Cs/>
          <w:sz w:val="20"/>
          <w:szCs w:val="20"/>
        </w:rPr>
        <w:t xml:space="preserve">Compañía De Seguros Y Reaseguros, S.A.; Mapfre Vida, S.A.; Allianz, Compañía De Seguros Y Reaseguros, S.A.; </w:t>
      </w:r>
      <w:proofErr w:type="spellStart"/>
      <w:r w:rsidRPr="009447EF">
        <w:rPr>
          <w:rFonts w:ascii="Aptos" w:hAnsi="Aptos" w:cstheme="minorHAnsi"/>
          <w:bCs/>
          <w:sz w:val="20"/>
          <w:szCs w:val="20"/>
        </w:rPr>
        <w:t>Segurcaixa</w:t>
      </w:r>
      <w:proofErr w:type="spellEnd"/>
      <w:r w:rsidRPr="009447EF">
        <w:rPr>
          <w:rFonts w:ascii="Aptos" w:hAnsi="Aptos" w:cstheme="minorHAnsi"/>
          <w:bCs/>
          <w:sz w:val="20"/>
          <w:szCs w:val="20"/>
        </w:rPr>
        <w:t xml:space="preserve"> </w:t>
      </w:r>
    </w:p>
    <w:p w14:paraId="07905425" w14:textId="77777777" w:rsidR="00CE5A7B" w:rsidRDefault="00CE5A7B" w:rsidP="00CE5A7B">
      <w:pPr>
        <w:spacing w:after="0"/>
        <w:jc w:val="both"/>
        <w:rPr>
          <w:rFonts w:ascii="Aptos" w:hAnsi="Aptos" w:cstheme="minorHAnsi"/>
          <w:bCs/>
          <w:sz w:val="20"/>
          <w:szCs w:val="20"/>
        </w:rPr>
      </w:pPr>
      <w:r w:rsidRPr="009447EF">
        <w:rPr>
          <w:rFonts w:ascii="Aptos" w:hAnsi="Aptos" w:cstheme="minorHAnsi"/>
          <w:bCs/>
          <w:sz w:val="20"/>
          <w:szCs w:val="20"/>
        </w:rPr>
        <w:t>Adeslas, S.A.; Reale Seguros Generales, S.A.; Pelayo Vida Seguros Y Reaseguros, S.A.; Axa Seguros Generales, S. A.; Axa Aurora Vida, S.A.; Arag SE Sucursal En España; Mutua Madrileña Automovilista, Sociedad De Seguros A Prima Fija.</w:t>
      </w:r>
    </w:p>
    <w:p w14:paraId="570F32B0" w14:textId="77777777" w:rsidR="004C1CB3" w:rsidRDefault="004C1CB3" w:rsidP="00CE5A7B">
      <w:pPr>
        <w:spacing w:after="0"/>
        <w:jc w:val="both"/>
        <w:rPr>
          <w:rFonts w:ascii="Aptos" w:hAnsi="Aptos" w:cstheme="minorHAnsi"/>
          <w:bCs/>
          <w:sz w:val="20"/>
          <w:szCs w:val="20"/>
        </w:rPr>
      </w:pPr>
    </w:p>
    <w:p w14:paraId="2D36E9C4" w14:textId="77777777" w:rsidR="004C1CB3" w:rsidRPr="009447EF" w:rsidRDefault="004C1CB3" w:rsidP="00CE5A7B">
      <w:pPr>
        <w:spacing w:after="0"/>
        <w:jc w:val="both"/>
        <w:rPr>
          <w:rFonts w:ascii="Aptos" w:hAnsi="Aptos" w:cstheme="minorHAnsi"/>
          <w:b/>
          <w:bCs/>
          <w:sz w:val="20"/>
          <w:szCs w:val="20"/>
        </w:rPr>
      </w:pPr>
    </w:p>
    <w:p w14:paraId="46F8D520" w14:textId="77777777" w:rsidR="00CE5A7B" w:rsidRPr="009447EF" w:rsidRDefault="00CE5A7B" w:rsidP="00CE5A7B">
      <w:pPr>
        <w:spacing w:after="0"/>
        <w:jc w:val="both"/>
        <w:rPr>
          <w:rFonts w:ascii="Aptos" w:hAnsi="Aptos" w:cstheme="minorHAnsi"/>
          <w:b/>
          <w:bCs/>
          <w:sz w:val="10"/>
          <w:szCs w:val="10"/>
        </w:rPr>
      </w:pPr>
    </w:p>
    <w:p w14:paraId="1D483154" w14:textId="77777777" w:rsidR="004C1CB3" w:rsidRDefault="004C1CB3" w:rsidP="00CE5A7B">
      <w:pPr>
        <w:spacing w:after="0"/>
        <w:jc w:val="both"/>
        <w:rPr>
          <w:rFonts w:ascii="Aptos" w:hAnsi="Aptos" w:cstheme="minorHAnsi"/>
          <w:b/>
          <w:sz w:val="20"/>
          <w:szCs w:val="20"/>
        </w:rPr>
      </w:pPr>
    </w:p>
    <w:p w14:paraId="0EE58AFF" w14:textId="77777777" w:rsidR="004C1CB3" w:rsidRDefault="004C1CB3" w:rsidP="00CE5A7B">
      <w:pPr>
        <w:spacing w:after="0"/>
        <w:jc w:val="both"/>
        <w:rPr>
          <w:rFonts w:ascii="Aptos" w:hAnsi="Aptos" w:cstheme="minorHAnsi"/>
          <w:b/>
          <w:sz w:val="20"/>
          <w:szCs w:val="20"/>
        </w:rPr>
      </w:pPr>
    </w:p>
    <w:p w14:paraId="2DC5DF69" w14:textId="77777777" w:rsidR="004C1CB3" w:rsidRDefault="004C1CB3" w:rsidP="00CE5A7B">
      <w:pPr>
        <w:spacing w:after="0"/>
        <w:jc w:val="both"/>
        <w:rPr>
          <w:rFonts w:ascii="Aptos" w:hAnsi="Aptos" w:cstheme="minorHAnsi"/>
          <w:b/>
          <w:sz w:val="20"/>
          <w:szCs w:val="20"/>
        </w:rPr>
      </w:pPr>
    </w:p>
    <w:p w14:paraId="18531D00" w14:textId="77777777" w:rsidR="004C1CB3" w:rsidRDefault="004C1CB3" w:rsidP="00CE5A7B">
      <w:pPr>
        <w:spacing w:after="0"/>
        <w:jc w:val="both"/>
        <w:rPr>
          <w:rFonts w:ascii="Aptos" w:hAnsi="Aptos" w:cstheme="minorHAnsi"/>
          <w:b/>
          <w:sz w:val="20"/>
          <w:szCs w:val="20"/>
        </w:rPr>
      </w:pPr>
    </w:p>
    <w:p w14:paraId="5315039E" w14:textId="1B188FD8" w:rsidR="00CE5A7B" w:rsidRPr="009447EF" w:rsidRDefault="00CE5A7B" w:rsidP="00CE5A7B">
      <w:pPr>
        <w:spacing w:after="0"/>
        <w:jc w:val="both"/>
        <w:rPr>
          <w:rFonts w:ascii="Aptos" w:hAnsi="Aptos" w:cstheme="minorHAnsi"/>
          <w:bCs/>
          <w:sz w:val="20"/>
          <w:szCs w:val="20"/>
        </w:rPr>
      </w:pPr>
      <w:r w:rsidRPr="009447EF">
        <w:rPr>
          <w:rFonts w:ascii="Aptos" w:hAnsi="Aptos" w:cstheme="minorHAnsi"/>
          <w:b/>
          <w:sz w:val="20"/>
          <w:szCs w:val="20"/>
        </w:rPr>
        <w:t>7. Registro:</w:t>
      </w:r>
      <w:r w:rsidRPr="009447EF">
        <w:rPr>
          <w:rFonts w:ascii="Aptos" w:hAnsi="Aptos" w:cstheme="minorHAnsi"/>
          <w:b/>
          <w:bCs/>
          <w:sz w:val="20"/>
          <w:szCs w:val="20"/>
        </w:rPr>
        <w:t xml:space="preserve"> </w:t>
      </w:r>
      <w:r w:rsidRPr="009447EF">
        <w:rPr>
          <w:rFonts w:ascii="Aptos" w:hAnsi="Aptos" w:cstheme="minorHAnsi"/>
          <w:bCs/>
          <w:sz w:val="20"/>
          <w:szCs w:val="20"/>
        </w:rPr>
        <w:t xml:space="preserve">La Correduría se encuentra inscrita como correduría de seguros en el Registro Administrativo de Distribuidores de Seguros y Reaseguros con la clave J226GC. Este Registro es público y puede ser consultado en la sede de la </w:t>
      </w:r>
      <w:proofErr w:type="spellStart"/>
      <w:r w:rsidRPr="009447EF">
        <w:rPr>
          <w:rFonts w:ascii="Aptos" w:hAnsi="Aptos" w:cstheme="minorHAnsi"/>
          <w:bCs/>
          <w:sz w:val="20"/>
          <w:szCs w:val="20"/>
        </w:rPr>
        <w:t>Direcció</w:t>
      </w:r>
      <w:proofErr w:type="spellEnd"/>
      <w:r w:rsidRPr="009447EF">
        <w:rPr>
          <w:rFonts w:ascii="Aptos" w:hAnsi="Aptos" w:cstheme="minorHAnsi"/>
          <w:bCs/>
          <w:sz w:val="20"/>
          <w:szCs w:val="20"/>
        </w:rPr>
        <w:t xml:space="preserve"> General de Política </w:t>
      </w:r>
      <w:proofErr w:type="spellStart"/>
      <w:r w:rsidRPr="009447EF">
        <w:rPr>
          <w:rFonts w:ascii="Aptos" w:hAnsi="Aptos" w:cstheme="minorHAnsi"/>
          <w:bCs/>
          <w:sz w:val="20"/>
          <w:szCs w:val="20"/>
        </w:rPr>
        <w:t>Financera</w:t>
      </w:r>
      <w:proofErr w:type="spellEnd"/>
      <w:r w:rsidRPr="009447EF">
        <w:rPr>
          <w:rFonts w:ascii="Aptos" w:hAnsi="Aptos" w:cstheme="minorHAnsi"/>
          <w:bCs/>
          <w:sz w:val="20"/>
          <w:szCs w:val="20"/>
        </w:rPr>
        <w:t xml:space="preserve">, </w:t>
      </w:r>
      <w:proofErr w:type="spellStart"/>
      <w:r w:rsidRPr="009447EF">
        <w:rPr>
          <w:rFonts w:ascii="Aptos" w:hAnsi="Aptos" w:cstheme="minorHAnsi"/>
          <w:bCs/>
          <w:sz w:val="20"/>
          <w:szCs w:val="20"/>
        </w:rPr>
        <w:t>Assegurances</w:t>
      </w:r>
      <w:proofErr w:type="spellEnd"/>
      <w:r w:rsidRPr="009447EF">
        <w:rPr>
          <w:rFonts w:ascii="Aptos" w:hAnsi="Aptos" w:cstheme="minorHAnsi"/>
          <w:bCs/>
          <w:sz w:val="20"/>
          <w:szCs w:val="20"/>
        </w:rPr>
        <w:t xml:space="preserve"> i </w:t>
      </w:r>
      <w:proofErr w:type="spellStart"/>
      <w:r w:rsidRPr="009447EF">
        <w:rPr>
          <w:rFonts w:ascii="Aptos" w:hAnsi="Aptos" w:cstheme="minorHAnsi"/>
          <w:bCs/>
          <w:sz w:val="20"/>
          <w:szCs w:val="20"/>
        </w:rPr>
        <w:t>Tresor</w:t>
      </w:r>
      <w:proofErr w:type="spellEnd"/>
      <w:r w:rsidRPr="009447EF">
        <w:rPr>
          <w:rFonts w:ascii="Aptos" w:hAnsi="Aptos" w:cstheme="minorHAnsi"/>
          <w:bCs/>
          <w:sz w:val="20"/>
          <w:szCs w:val="20"/>
        </w:rPr>
        <w:t xml:space="preserve"> de la Generalitat de Catalunya, sita en el </w:t>
      </w:r>
      <w:proofErr w:type="spellStart"/>
      <w:r w:rsidRPr="009447EF">
        <w:rPr>
          <w:rFonts w:ascii="Aptos" w:hAnsi="Aptos" w:cstheme="minorHAnsi"/>
          <w:bCs/>
          <w:sz w:val="20"/>
          <w:szCs w:val="20"/>
        </w:rPr>
        <w:t>Carrer</w:t>
      </w:r>
      <w:proofErr w:type="spellEnd"/>
      <w:r w:rsidRPr="009447EF">
        <w:rPr>
          <w:rFonts w:ascii="Aptos" w:hAnsi="Aptos" w:cstheme="minorHAnsi"/>
          <w:bCs/>
          <w:sz w:val="20"/>
          <w:szCs w:val="20"/>
        </w:rPr>
        <w:t xml:space="preserve"> del </w:t>
      </w:r>
      <w:proofErr w:type="spellStart"/>
      <w:r w:rsidRPr="009447EF">
        <w:rPr>
          <w:rFonts w:ascii="Aptos" w:hAnsi="Aptos" w:cstheme="minorHAnsi"/>
          <w:bCs/>
          <w:sz w:val="20"/>
          <w:szCs w:val="20"/>
        </w:rPr>
        <w:t>Foc</w:t>
      </w:r>
      <w:proofErr w:type="spellEnd"/>
      <w:r w:rsidRPr="009447EF">
        <w:rPr>
          <w:rFonts w:ascii="Aptos" w:hAnsi="Aptos" w:cstheme="minorHAnsi"/>
          <w:bCs/>
          <w:sz w:val="20"/>
          <w:szCs w:val="20"/>
        </w:rPr>
        <w:t xml:space="preserve">, </w:t>
      </w:r>
      <w:proofErr w:type="spellStart"/>
      <w:r w:rsidRPr="009447EF">
        <w:rPr>
          <w:rFonts w:ascii="Aptos" w:hAnsi="Aptos" w:cstheme="minorHAnsi"/>
          <w:bCs/>
          <w:sz w:val="20"/>
          <w:szCs w:val="20"/>
        </w:rPr>
        <w:t>nº</w:t>
      </w:r>
      <w:proofErr w:type="spellEnd"/>
      <w:r w:rsidRPr="009447EF">
        <w:rPr>
          <w:rFonts w:ascii="Aptos" w:hAnsi="Aptos" w:cstheme="minorHAnsi"/>
          <w:bCs/>
          <w:sz w:val="20"/>
          <w:szCs w:val="20"/>
        </w:rPr>
        <w:t xml:space="preserve"> 57, 08038 Barcelona, y en su página web: www.gencat.cat/economia/mediadors. </w:t>
      </w:r>
    </w:p>
    <w:p w14:paraId="683899D1" w14:textId="77777777" w:rsidR="00CE5A7B" w:rsidRPr="009447EF" w:rsidRDefault="00CE5A7B" w:rsidP="00CE5A7B">
      <w:pPr>
        <w:spacing w:after="0"/>
        <w:jc w:val="both"/>
        <w:rPr>
          <w:rFonts w:ascii="Aptos" w:hAnsi="Aptos" w:cstheme="minorHAnsi"/>
          <w:bCs/>
          <w:sz w:val="10"/>
          <w:szCs w:val="10"/>
        </w:rPr>
      </w:pPr>
    </w:p>
    <w:p w14:paraId="5E71C376" w14:textId="77777777" w:rsidR="00CE5A7B" w:rsidRPr="009447EF" w:rsidRDefault="00CE5A7B" w:rsidP="00CE5A7B">
      <w:pPr>
        <w:spacing w:after="0"/>
        <w:jc w:val="both"/>
        <w:rPr>
          <w:rFonts w:ascii="Aptos" w:hAnsi="Aptos" w:cstheme="minorHAnsi"/>
          <w:b/>
          <w:sz w:val="20"/>
          <w:szCs w:val="20"/>
        </w:rPr>
      </w:pPr>
    </w:p>
    <w:p w14:paraId="4DD4C317" w14:textId="77777777" w:rsidR="00CE5A7B" w:rsidRPr="009447EF" w:rsidRDefault="00CE5A7B" w:rsidP="00CE5A7B">
      <w:pPr>
        <w:spacing w:after="0"/>
        <w:jc w:val="both"/>
        <w:rPr>
          <w:rFonts w:ascii="Aptos" w:hAnsi="Aptos" w:cstheme="minorHAnsi"/>
          <w:bCs/>
          <w:sz w:val="20"/>
          <w:szCs w:val="20"/>
          <w:lang w:val="es-ES_tradnl"/>
        </w:rPr>
      </w:pPr>
      <w:r w:rsidRPr="009447EF">
        <w:rPr>
          <w:rFonts w:ascii="Aptos" w:hAnsi="Aptos" w:cstheme="minorHAnsi"/>
          <w:b/>
          <w:sz w:val="20"/>
          <w:szCs w:val="20"/>
        </w:rPr>
        <w:t>8. Servicio de Atención al Cliente:</w:t>
      </w:r>
      <w:r w:rsidRPr="009447EF">
        <w:rPr>
          <w:rFonts w:ascii="Aptos" w:hAnsi="Aptos" w:cstheme="minorHAnsi"/>
          <w:bCs/>
          <w:sz w:val="20"/>
          <w:szCs w:val="20"/>
          <w:lang w:val="es-ES_tradnl"/>
        </w:rPr>
        <w:t xml:space="preserve"> Para atender y resolver las quejas y reclamaciones de su clientela, la Correduría dispone de un Servicio de Atención al Cliente externalizado en </w:t>
      </w:r>
      <w:r w:rsidRPr="009447EF">
        <w:rPr>
          <w:rFonts w:ascii="Aptos" w:hAnsi="Aptos" w:cstheme="minorHAnsi"/>
          <w:bCs/>
          <w:iCs/>
          <w:sz w:val="20"/>
          <w:szCs w:val="20"/>
          <w:lang w:val="es-ES_tradnl"/>
        </w:rPr>
        <w:t xml:space="preserve">el Sr. Josep </w:t>
      </w:r>
      <w:proofErr w:type="spellStart"/>
      <w:r w:rsidRPr="009447EF">
        <w:rPr>
          <w:rFonts w:ascii="Aptos" w:hAnsi="Aptos" w:cstheme="minorHAnsi"/>
          <w:bCs/>
          <w:iCs/>
          <w:sz w:val="20"/>
          <w:szCs w:val="20"/>
          <w:lang w:val="es-ES_tradnl"/>
        </w:rPr>
        <w:t>Granés</w:t>
      </w:r>
      <w:proofErr w:type="spellEnd"/>
      <w:r w:rsidRPr="009447EF">
        <w:rPr>
          <w:rFonts w:ascii="Aptos" w:hAnsi="Aptos" w:cstheme="minorHAnsi"/>
          <w:bCs/>
          <w:iCs/>
          <w:sz w:val="20"/>
          <w:szCs w:val="20"/>
          <w:lang w:val="es-ES_tradnl"/>
        </w:rPr>
        <w:t xml:space="preserve"> </w:t>
      </w:r>
      <w:proofErr w:type="spellStart"/>
      <w:r w:rsidRPr="009447EF">
        <w:rPr>
          <w:rFonts w:ascii="Aptos" w:hAnsi="Aptos" w:cstheme="minorHAnsi"/>
          <w:bCs/>
          <w:iCs/>
          <w:sz w:val="20"/>
          <w:szCs w:val="20"/>
          <w:lang w:val="es-ES_tradnl"/>
        </w:rPr>
        <w:t>Aragonès</w:t>
      </w:r>
      <w:proofErr w:type="spellEnd"/>
      <w:r w:rsidRPr="009447EF">
        <w:rPr>
          <w:rFonts w:ascii="Aptos" w:hAnsi="Aptos" w:cstheme="minorHAnsi"/>
          <w:bCs/>
          <w:iCs/>
          <w:sz w:val="20"/>
          <w:szCs w:val="20"/>
          <w:lang w:val="es-ES_tradnl"/>
        </w:rPr>
        <w:t>. Puede dirigirse a él por escrito dirigido a c/ Aragón, 208, 6º 5ª 08011 Barcelona o al e-mail info@solventoconsulting.com.</w:t>
      </w:r>
      <w:r w:rsidRPr="009447EF">
        <w:rPr>
          <w:rFonts w:ascii="Aptos" w:hAnsi="Aptos" w:cstheme="minorHAnsi"/>
          <w:bCs/>
          <w:sz w:val="20"/>
          <w:szCs w:val="20"/>
          <w:lang w:val="es-ES_tradnl"/>
        </w:rPr>
        <w:t xml:space="preserve"> Este Servicio tiene la obligación de resolver las quejas y reclamaciones en el plazo máximo de dos meses desde la fecha de la presentación. Si </w:t>
      </w:r>
      <w:r w:rsidRPr="009447EF">
        <w:rPr>
          <w:rFonts w:ascii="Aptos" w:hAnsi="Aptos" w:cstheme="minorHAnsi"/>
          <w:bCs/>
          <w:iCs/>
          <w:sz w:val="20"/>
          <w:szCs w:val="20"/>
          <w:lang w:val="es-ES_tradnl"/>
        </w:rPr>
        <w:t>la r</w:t>
      </w:r>
      <w:r w:rsidRPr="009447EF">
        <w:rPr>
          <w:rFonts w:ascii="Aptos" w:hAnsi="Aptos" w:cstheme="minorHAnsi"/>
          <w:bCs/>
          <w:sz w:val="20"/>
          <w:szCs w:val="20"/>
          <w:lang w:val="es-ES_tradnl"/>
        </w:rPr>
        <w:t xml:space="preserve">esolución no fuera del agrado del Cliente, podrá dirigirse al Servicio de Reclamaciones de la </w:t>
      </w:r>
      <w:proofErr w:type="spellStart"/>
      <w:r w:rsidRPr="009447EF">
        <w:rPr>
          <w:rFonts w:ascii="Aptos" w:hAnsi="Aptos" w:cstheme="minorHAnsi"/>
          <w:bCs/>
          <w:sz w:val="20"/>
          <w:szCs w:val="20"/>
          <w:lang w:val="es-ES_tradnl"/>
        </w:rPr>
        <w:t>Direcció</w:t>
      </w:r>
      <w:proofErr w:type="spellEnd"/>
      <w:r w:rsidRPr="009447EF">
        <w:rPr>
          <w:rFonts w:ascii="Aptos" w:hAnsi="Aptos" w:cstheme="minorHAnsi"/>
          <w:bCs/>
          <w:sz w:val="20"/>
          <w:szCs w:val="20"/>
          <w:lang w:val="es-ES_tradnl"/>
        </w:rPr>
        <w:t xml:space="preserve"> General de Política </w:t>
      </w:r>
      <w:proofErr w:type="spellStart"/>
      <w:r w:rsidRPr="009447EF">
        <w:rPr>
          <w:rFonts w:ascii="Aptos" w:hAnsi="Aptos" w:cstheme="minorHAnsi"/>
          <w:bCs/>
          <w:sz w:val="20"/>
          <w:szCs w:val="20"/>
          <w:lang w:val="es-ES_tradnl"/>
        </w:rPr>
        <w:t>Financera</w:t>
      </w:r>
      <w:proofErr w:type="spellEnd"/>
      <w:r w:rsidRPr="009447EF">
        <w:rPr>
          <w:rFonts w:ascii="Aptos" w:hAnsi="Aptos" w:cstheme="minorHAnsi"/>
          <w:bCs/>
          <w:sz w:val="20"/>
          <w:szCs w:val="20"/>
          <w:lang w:val="es-ES_tradnl"/>
        </w:rPr>
        <w:t xml:space="preserve">, </w:t>
      </w:r>
      <w:proofErr w:type="spellStart"/>
      <w:r w:rsidRPr="009447EF">
        <w:rPr>
          <w:rFonts w:ascii="Aptos" w:hAnsi="Aptos" w:cstheme="minorHAnsi"/>
          <w:bCs/>
          <w:sz w:val="20"/>
          <w:szCs w:val="20"/>
          <w:lang w:val="es-ES_tradnl"/>
        </w:rPr>
        <w:t>Assegurances</w:t>
      </w:r>
      <w:proofErr w:type="spellEnd"/>
      <w:r w:rsidRPr="009447EF">
        <w:rPr>
          <w:rFonts w:ascii="Aptos" w:hAnsi="Aptos" w:cstheme="minorHAnsi"/>
          <w:bCs/>
          <w:sz w:val="20"/>
          <w:szCs w:val="20"/>
          <w:lang w:val="es-ES_tradnl"/>
        </w:rPr>
        <w:t xml:space="preserve"> i </w:t>
      </w:r>
      <w:proofErr w:type="spellStart"/>
      <w:r w:rsidRPr="009447EF">
        <w:rPr>
          <w:rFonts w:ascii="Aptos" w:hAnsi="Aptos" w:cstheme="minorHAnsi"/>
          <w:bCs/>
          <w:sz w:val="20"/>
          <w:szCs w:val="20"/>
          <w:lang w:val="es-ES_tradnl"/>
        </w:rPr>
        <w:t>Tresor</w:t>
      </w:r>
      <w:proofErr w:type="spellEnd"/>
      <w:r w:rsidRPr="009447EF">
        <w:rPr>
          <w:rFonts w:ascii="Aptos" w:hAnsi="Aptos" w:cstheme="minorHAnsi"/>
          <w:bCs/>
          <w:sz w:val="20"/>
          <w:szCs w:val="20"/>
          <w:lang w:val="es-ES_tradnl"/>
        </w:rPr>
        <w:t xml:space="preserve"> de la Generalitat de Catalunya, sita en el </w:t>
      </w:r>
      <w:proofErr w:type="spellStart"/>
      <w:r w:rsidRPr="009447EF">
        <w:rPr>
          <w:rFonts w:ascii="Aptos" w:hAnsi="Aptos" w:cstheme="minorHAnsi"/>
          <w:bCs/>
          <w:sz w:val="20"/>
          <w:szCs w:val="20"/>
          <w:lang w:val="es-ES_tradnl"/>
        </w:rPr>
        <w:t>Carrer</w:t>
      </w:r>
      <w:proofErr w:type="spellEnd"/>
      <w:r w:rsidRPr="009447EF">
        <w:rPr>
          <w:rFonts w:ascii="Aptos" w:hAnsi="Aptos" w:cstheme="minorHAnsi"/>
          <w:bCs/>
          <w:sz w:val="20"/>
          <w:szCs w:val="20"/>
          <w:lang w:val="es-ES_tradnl"/>
        </w:rPr>
        <w:t xml:space="preserve"> del </w:t>
      </w:r>
      <w:proofErr w:type="spellStart"/>
      <w:r w:rsidRPr="009447EF">
        <w:rPr>
          <w:rFonts w:ascii="Aptos" w:hAnsi="Aptos" w:cstheme="minorHAnsi"/>
          <w:bCs/>
          <w:sz w:val="20"/>
          <w:szCs w:val="20"/>
          <w:lang w:val="es-ES_tradnl"/>
        </w:rPr>
        <w:t>Foc</w:t>
      </w:r>
      <w:proofErr w:type="spellEnd"/>
      <w:r w:rsidRPr="009447EF">
        <w:rPr>
          <w:rFonts w:ascii="Aptos" w:hAnsi="Aptos" w:cstheme="minorHAnsi"/>
          <w:bCs/>
          <w:sz w:val="20"/>
          <w:szCs w:val="20"/>
          <w:lang w:val="es-ES_tradnl"/>
        </w:rPr>
        <w:t xml:space="preserve">, </w:t>
      </w:r>
      <w:proofErr w:type="spellStart"/>
      <w:r w:rsidRPr="009447EF">
        <w:rPr>
          <w:rFonts w:ascii="Aptos" w:hAnsi="Aptos" w:cstheme="minorHAnsi"/>
          <w:bCs/>
          <w:sz w:val="20"/>
          <w:szCs w:val="20"/>
          <w:lang w:val="es-ES_tradnl"/>
        </w:rPr>
        <w:t>nº</w:t>
      </w:r>
      <w:proofErr w:type="spellEnd"/>
      <w:r w:rsidRPr="009447EF">
        <w:rPr>
          <w:rFonts w:ascii="Aptos" w:hAnsi="Aptos" w:cstheme="minorHAnsi"/>
          <w:bCs/>
          <w:sz w:val="20"/>
          <w:szCs w:val="20"/>
          <w:lang w:val="es-ES_tradnl"/>
        </w:rPr>
        <w:t xml:space="preserve"> 57, 08038 Barcelona, siendo imprescindible para ello acreditar haber formulado la queja o reclamación, por escrito, ante el Servicio de Atención al Cliente de la Correduría.</w:t>
      </w:r>
    </w:p>
    <w:p w14:paraId="764D20F2" w14:textId="77777777" w:rsidR="00CE5A7B" w:rsidRPr="009447EF" w:rsidRDefault="00CE5A7B" w:rsidP="00CE5A7B">
      <w:pPr>
        <w:spacing w:after="0"/>
        <w:jc w:val="both"/>
        <w:rPr>
          <w:rFonts w:ascii="Aptos" w:hAnsi="Aptos" w:cstheme="minorHAnsi"/>
          <w:bCs/>
          <w:sz w:val="10"/>
          <w:szCs w:val="10"/>
          <w:lang w:val="es-ES_tradnl"/>
        </w:rPr>
      </w:pPr>
    </w:p>
    <w:p w14:paraId="07F5CAB8" w14:textId="77777777" w:rsidR="00CE5A7B" w:rsidRPr="009447EF" w:rsidRDefault="00CE5A7B" w:rsidP="00CE5A7B">
      <w:pPr>
        <w:spacing w:after="0"/>
        <w:jc w:val="both"/>
        <w:rPr>
          <w:rFonts w:ascii="Aptos" w:hAnsi="Aptos" w:cstheme="minorHAnsi"/>
          <w:bCs/>
          <w:sz w:val="20"/>
          <w:szCs w:val="20"/>
          <w:lang w:val="es-ES_tradnl"/>
        </w:rPr>
      </w:pPr>
      <w:r w:rsidRPr="009447EF">
        <w:rPr>
          <w:rFonts w:ascii="Aptos" w:hAnsi="Aptos" w:cstheme="minorHAnsi"/>
          <w:b/>
          <w:sz w:val="20"/>
          <w:szCs w:val="20"/>
        </w:rPr>
        <w:t>9. Remuneración:</w:t>
      </w:r>
      <w:r w:rsidRPr="009447EF">
        <w:rPr>
          <w:rFonts w:ascii="Aptos" w:hAnsi="Aptos" w:cstheme="minorHAnsi"/>
          <w:b/>
          <w:bCs/>
          <w:sz w:val="20"/>
          <w:szCs w:val="20"/>
          <w:lang w:val="es-ES_tradnl"/>
        </w:rPr>
        <w:t xml:space="preserve"> </w:t>
      </w:r>
      <w:r w:rsidRPr="009447EF">
        <w:rPr>
          <w:rFonts w:ascii="Aptos" w:hAnsi="Aptos" w:cstheme="minorHAnsi"/>
          <w:bCs/>
          <w:sz w:val="20"/>
          <w:szCs w:val="20"/>
          <w:lang w:val="es-ES_tradnl"/>
        </w:rPr>
        <w:t>En relación con el contrato de seguro, le informamos que por nuestra mediación e intervención en la gestión de sus pólizas nuestra retribución es exclusivamente una comisión que facturamos directamente a las entidades aseguradoras y mutuas y que no está incluida en la prima del seguro.</w:t>
      </w:r>
    </w:p>
    <w:p w14:paraId="7B6EB069" w14:textId="77777777" w:rsidR="00CE5A7B" w:rsidRPr="009447EF" w:rsidRDefault="00CE5A7B" w:rsidP="00CE5A7B">
      <w:pPr>
        <w:spacing w:after="0"/>
        <w:jc w:val="both"/>
        <w:rPr>
          <w:rFonts w:ascii="Aptos" w:hAnsi="Aptos" w:cstheme="minorHAnsi"/>
          <w:b/>
          <w:bCs/>
          <w:sz w:val="10"/>
          <w:szCs w:val="10"/>
          <w:lang w:val="es-ES_tradnl"/>
        </w:rPr>
      </w:pPr>
    </w:p>
    <w:p w14:paraId="6072957E" w14:textId="77777777" w:rsidR="00CE5A7B" w:rsidRPr="009447EF" w:rsidRDefault="00CE5A7B" w:rsidP="00CE5A7B">
      <w:pPr>
        <w:spacing w:after="0"/>
        <w:jc w:val="both"/>
        <w:rPr>
          <w:rFonts w:ascii="Aptos" w:hAnsi="Aptos" w:cstheme="minorHAnsi"/>
          <w:b/>
          <w:bCs/>
          <w:sz w:val="20"/>
          <w:szCs w:val="20"/>
        </w:rPr>
      </w:pPr>
      <w:r w:rsidRPr="009447EF">
        <w:rPr>
          <w:rFonts w:ascii="Aptos" w:hAnsi="Aptos" w:cstheme="minorHAnsi"/>
          <w:b/>
          <w:sz w:val="20"/>
          <w:szCs w:val="20"/>
        </w:rPr>
        <w:t>10. Precio del seguro:</w:t>
      </w:r>
      <w:r w:rsidRPr="009447EF">
        <w:rPr>
          <w:rFonts w:ascii="Aptos" w:hAnsi="Aptos" w:cstheme="minorHAnsi"/>
          <w:b/>
          <w:bCs/>
          <w:sz w:val="20"/>
          <w:szCs w:val="20"/>
        </w:rPr>
        <w:t xml:space="preserve"> </w:t>
      </w:r>
      <w:r w:rsidRPr="009447EF">
        <w:rPr>
          <w:rFonts w:ascii="Aptos" w:hAnsi="Aptos" w:cstheme="minorHAnsi"/>
          <w:bCs/>
          <w:sz w:val="20"/>
          <w:szCs w:val="20"/>
        </w:rPr>
        <w:t>Cuando le facilitemos una cotización, siempre intentaremos que sea el precio final, pero en alguna ocasión podría suceder que la entidad aseguradora nos indicase el precio de forma incompleta. Cuando tengamos conocimiento de ello le informaremos enseguida. El precio que conste en el contrato de seguro sí está garantizado.</w:t>
      </w:r>
    </w:p>
    <w:p w14:paraId="26DDEB9A" w14:textId="77777777" w:rsidR="00CE5A7B" w:rsidRPr="009447EF" w:rsidRDefault="00CE5A7B" w:rsidP="00CE5A7B">
      <w:pPr>
        <w:spacing w:after="0"/>
        <w:jc w:val="both"/>
        <w:rPr>
          <w:rFonts w:ascii="Aptos" w:hAnsi="Aptos" w:cstheme="minorHAnsi"/>
          <w:b/>
          <w:bCs/>
          <w:sz w:val="10"/>
          <w:szCs w:val="10"/>
        </w:rPr>
      </w:pPr>
    </w:p>
    <w:p w14:paraId="2AA42AD8"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
          <w:sz w:val="20"/>
          <w:szCs w:val="20"/>
        </w:rPr>
        <w:t>11. Comunicaciones:</w:t>
      </w:r>
      <w:r w:rsidRPr="009447EF">
        <w:rPr>
          <w:rFonts w:ascii="Aptos" w:hAnsi="Aptos" w:cstheme="minorHAnsi"/>
          <w:b/>
          <w:bCs/>
          <w:sz w:val="20"/>
          <w:szCs w:val="20"/>
        </w:rPr>
        <w:t xml:space="preserve"> </w:t>
      </w:r>
      <w:r w:rsidRPr="009447EF">
        <w:rPr>
          <w:rFonts w:ascii="Aptos" w:hAnsi="Aptos" w:cstheme="minorHAnsi"/>
          <w:bCs/>
          <w:sz w:val="20"/>
          <w:szCs w:val="20"/>
        </w:rPr>
        <w:t>Usted autoriza que traslademos en su nombre las comunicaciones que nos haga llegar, inclusive las de suscripción, modificación y rescisión del contrato de seguro, que deberán constar debidamente acreditadas.</w:t>
      </w:r>
    </w:p>
    <w:p w14:paraId="770C6746" w14:textId="77777777" w:rsidR="00CE5A7B" w:rsidRPr="009447EF" w:rsidRDefault="00CE5A7B" w:rsidP="00CE5A7B">
      <w:pPr>
        <w:spacing w:after="0"/>
        <w:jc w:val="both"/>
        <w:rPr>
          <w:rFonts w:ascii="Aptos" w:hAnsi="Aptos" w:cstheme="minorHAnsi"/>
          <w:bCs/>
          <w:sz w:val="10"/>
          <w:szCs w:val="10"/>
        </w:rPr>
      </w:pPr>
    </w:p>
    <w:p w14:paraId="31E2DB39"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
          <w:sz w:val="20"/>
          <w:szCs w:val="20"/>
        </w:rPr>
        <w:t>12. Comunicaciones comerciales:</w:t>
      </w:r>
      <w:r w:rsidRPr="009447EF">
        <w:rPr>
          <w:rFonts w:ascii="Aptos" w:hAnsi="Aptos" w:cstheme="minorHAnsi"/>
          <w:b/>
          <w:bCs/>
          <w:sz w:val="20"/>
          <w:szCs w:val="20"/>
        </w:rPr>
        <w:t xml:space="preserve"> </w:t>
      </w:r>
      <w:r w:rsidRPr="009447EF">
        <w:rPr>
          <w:rFonts w:ascii="Aptos" w:hAnsi="Aptos" w:cstheme="minorHAnsi"/>
          <w:bCs/>
          <w:sz w:val="20"/>
          <w:szCs w:val="20"/>
        </w:rPr>
        <w:t>Usted autoriza el envío por medios electrónicos y tradicionales de información acerca de los productos de seguro de la Correduría que sean de su interés, especialmente cuando haya sido cancelado un contrato de seguro y sea necesaria la cobertura del riesgo.</w:t>
      </w:r>
    </w:p>
    <w:p w14:paraId="6700D7AC" w14:textId="77777777" w:rsidR="00CE5A7B" w:rsidRPr="009447EF" w:rsidRDefault="00CE5A7B" w:rsidP="00CE5A7B">
      <w:pPr>
        <w:spacing w:after="0"/>
        <w:jc w:val="both"/>
        <w:rPr>
          <w:rFonts w:ascii="Aptos" w:hAnsi="Aptos" w:cstheme="minorHAnsi"/>
          <w:bCs/>
          <w:sz w:val="10"/>
          <w:szCs w:val="10"/>
        </w:rPr>
      </w:pPr>
    </w:p>
    <w:p w14:paraId="265EC3A4" w14:textId="77777777" w:rsidR="00CE5A7B" w:rsidRPr="009447EF" w:rsidRDefault="00CE5A7B" w:rsidP="00CE5A7B">
      <w:pPr>
        <w:spacing w:after="0"/>
        <w:jc w:val="both"/>
        <w:rPr>
          <w:rFonts w:ascii="Aptos" w:hAnsi="Aptos" w:cstheme="minorHAnsi"/>
          <w:b/>
          <w:bCs/>
          <w:sz w:val="20"/>
          <w:szCs w:val="20"/>
        </w:rPr>
      </w:pPr>
      <w:r w:rsidRPr="009447EF">
        <w:rPr>
          <w:rFonts w:ascii="Aptos" w:hAnsi="Aptos" w:cstheme="minorHAnsi"/>
          <w:b/>
          <w:sz w:val="20"/>
          <w:szCs w:val="20"/>
        </w:rPr>
        <w:t>13. Derecho de desistimiento en la contratación a distancia</w:t>
      </w:r>
      <w:bookmarkStart w:id="1" w:name="_Hlk74761537"/>
      <w:r w:rsidRPr="009447EF">
        <w:rPr>
          <w:rFonts w:ascii="Aptos" w:hAnsi="Aptos" w:cstheme="minorHAnsi"/>
          <w:b/>
          <w:sz w:val="20"/>
          <w:szCs w:val="20"/>
        </w:rPr>
        <w:t>:</w:t>
      </w:r>
      <w:bookmarkEnd w:id="1"/>
      <w:r w:rsidRPr="009447EF">
        <w:rPr>
          <w:rFonts w:ascii="Aptos" w:hAnsi="Aptos" w:cstheme="minorHAnsi"/>
          <w:b/>
          <w:bCs/>
          <w:sz w:val="20"/>
          <w:szCs w:val="20"/>
        </w:rPr>
        <w:t xml:space="preserve"> </w:t>
      </w:r>
      <w:r w:rsidRPr="009447EF">
        <w:rPr>
          <w:rFonts w:ascii="Aptos" w:hAnsi="Aptos" w:cstheme="minorHAnsi"/>
          <w:bCs/>
          <w:sz w:val="20"/>
          <w:szCs w:val="20"/>
        </w:rPr>
        <w:t>Usted dispone de un plazo de catorce días naturales para desistir del contrato a distancia, sin indicación de los motivos y sin penalización alguna. El plazo para ejercer el derecho de desistimiento empezará a correr desde el día de la celebración del contrato o desde el día en que se le faciliten las condiciones e información contractual.</w:t>
      </w:r>
    </w:p>
    <w:p w14:paraId="1C844279"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Cs/>
          <w:sz w:val="20"/>
          <w:szCs w:val="20"/>
        </w:rPr>
        <w:t xml:space="preserve">El plazo de desistimiento será de treinta días naturales en el caso de contratos relacionados con seguros de vida. </w:t>
      </w:r>
    </w:p>
    <w:p w14:paraId="18F6D1E8"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Cs/>
          <w:sz w:val="20"/>
          <w:szCs w:val="20"/>
        </w:rPr>
        <w:t>El derecho de desistimiento NO se aplica a los siguientes seguros:</w:t>
      </w:r>
    </w:p>
    <w:p w14:paraId="4FDF82BA" w14:textId="77777777" w:rsidR="00CE5A7B" w:rsidRPr="009447EF" w:rsidRDefault="00CE5A7B" w:rsidP="00CE5A7B">
      <w:pPr>
        <w:numPr>
          <w:ilvl w:val="0"/>
          <w:numId w:val="10"/>
        </w:numPr>
        <w:spacing w:after="0"/>
        <w:jc w:val="both"/>
        <w:rPr>
          <w:rFonts w:ascii="Aptos" w:hAnsi="Aptos" w:cstheme="minorHAnsi"/>
          <w:bCs/>
          <w:sz w:val="20"/>
          <w:szCs w:val="20"/>
        </w:rPr>
      </w:pPr>
      <w:r w:rsidRPr="009447EF">
        <w:rPr>
          <w:rFonts w:ascii="Aptos" w:hAnsi="Aptos" w:cstheme="minorHAnsi"/>
          <w:bCs/>
          <w:sz w:val="20"/>
          <w:szCs w:val="20"/>
        </w:rPr>
        <w:t>Los seguros en los que el tomador asuma el riesgo de la inversión, así como los contratos en los que la rentabilidad garantizada esté en función de inversiones asignadas a los mismos.</w:t>
      </w:r>
    </w:p>
    <w:p w14:paraId="4CA7046B" w14:textId="77777777" w:rsidR="00CE5A7B" w:rsidRPr="009447EF" w:rsidRDefault="00CE5A7B" w:rsidP="00CE5A7B">
      <w:pPr>
        <w:numPr>
          <w:ilvl w:val="0"/>
          <w:numId w:val="10"/>
        </w:numPr>
        <w:spacing w:after="0"/>
        <w:jc w:val="both"/>
        <w:rPr>
          <w:rFonts w:ascii="Aptos" w:hAnsi="Aptos" w:cstheme="minorHAnsi"/>
          <w:bCs/>
          <w:sz w:val="20"/>
          <w:szCs w:val="20"/>
        </w:rPr>
      </w:pPr>
      <w:r w:rsidRPr="009447EF">
        <w:rPr>
          <w:rFonts w:ascii="Aptos" w:hAnsi="Aptos" w:cstheme="minorHAnsi"/>
          <w:bCs/>
          <w:sz w:val="20"/>
          <w:szCs w:val="20"/>
        </w:rPr>
        <w:t>Los de seguro de viaje, equipaje o seguros similares de una duración inferior a un mes.</w:t>
      </w:r>
    </w:p>
    <w:p w14:paraId="3E615776" w14:textId="77777777" w:rsidR="00CE5A7B" w:rsidRPr="009447EF" w:rsidRDefault="00CE5A7B" w:rsidP="00CE5A7B">
      <w:pPr>
        <w:numPr>
          <w:ilvl w:val="0"/>
          <w:numId w:val="10"/>
        </w:numPr>
        <w:spacing w:after="0"/>
        <w:jc w:val="both"/>
        <w:rPr>
          <w:rFonts w:ascii="Aptos" w:hAnsi="Aptos" w:cstheme="minorHAnsi"/>
          <w:bCs/>
          <w:sz w:val="20"/>
          <w:szCs w:val="20"/>
        </w:rPr>
      </w:pPr>
      <w:r w:rsidRPr="009447EF">
        <w:rPr>
          <w:rFonts w:ascii="Aptos" w:hAnsi="Aptos" w:cstheme="minorHAnsi"/>
          <w:bCs/>
          <w:sz w:val="20"/>
          <w:szCs w:val="20"/>
        </w:rPr>
        <w:t xml:space="preserve">Los seguros cuyos efectos terminen antes del plazo de catorce de días naturales, en el caso de los seguros de no vida, y de treinta días naturales, en el caso de los seguros de vida. </w:t>
      </w:r>
    </w:p>
    <w:p w14:paraId="3765147F" w14:textId="77777777" w:rsidR="00CE5A7B" w:rsidRPr="009447EF" w:rsidRDefault="00CE5A7B" w:rsidP="00CE5A7B">
      <w:pPr>
        <w:numPr>
          <w:ilvl w:val="0"/>
          <w:numId w:val="10"/>
        </w:numPr>
        <w:spacing w:after="0"/>
        <w:jc w:val="both"/>
        <w:rPr>
          <w:rFonts w:ascii="Aptos" w:hAnsi="Aptos" w:cstheme="minorHAnsi"/>
          <w:bCs/>
          <w:sz w:val="20"/>
          <w:szCs w:val="20"/>
        </w:rPr>
      </w:pPr>
      <w:r w:rsidRPr="009447EF">
        <w:rPr>
          <w:rFonts w:ascii="Aptos" w:hAnsi="Aptos" w:cstheme="minorHAnsi"/>
          <w:bCs/>
          <w:sz w:val="20"/>
          <w:szCs w:val="20"/>
        </w:rPr>
        <w:t>Los seguros que den cumplimiento a una obligación de aseguramiento del tomador (por ejemplo, el seguro obligatorio de vehículos).</w:t>
      </w:r>
    </w:p>
    <w:p w14:paraId="3BD022AE" w14:textId="77777777" w:rsidR="00CE5A7B" w:rsidRDefault="00CE5A7B" w:rsidP="00CE5A7B">
      <w:pPr>
        <w:numPr>
          <w:ilvl w:val="0"/>
          <w:numId w:val="10"/>
        </w:numPr>
        <w:spacing w:after="0"/>
        <w:jc w:val="both"/>
        <w:rPr>
          <w:rFonts w:ascii="Aptos" w:hAnsi="Aptos" w:cstheme="minorHAnsi"/>
          <w:bCs/>
          <w:sz w:val="20"/>
          <w:szCs w:val="20"/>
        </w:rPr>
      </w:pPr>
      <w:r w:rsidRPr="009447EF">
        <w:rPr>
          <w:rFonts w:ascii="Aptos" w:hAnsi="Aptos" w:cstheme="minorHAnsi"/>
          <w:bCs/>
          <w:sz w:val="20"/>
          <w:szCs w:val="20"/>
        </w:rPr>
        <w:t>Los planes de previsión asegurados.</w:t>
      </w:r>
    </w:p>
    <w:p w14:paraId="2FC45502" w14:textId="77777777" w:rsidR="0078024B" w:rsidRDefault="0078024B" w:rsidP="0078024B">
      <w:pPr>
        <w:spacing w:after="0"/>
        <w:jc w:val="both"/>
        <w:rPr>
          <w:rFonts w:ascii="Aptos" w:hAnsi="Aptos" w:cstheme="minorHAnsi"/>
          <w:bCs/>
          <w:sz w:val="20"/>
          <w:szCs w:val="20"/>
        </w:rPr>
      </w:pPr>
    </w:p>
    <w:p w14:paraId="4194B5ED" w14:textId="77777777" w:rsidR="0078024B" w:rsidRDefault="0078024B" w:rsidP="0078024B">
      <w:pPr>
        <w:spacing w:after="0"/>
        <w:jc w:val="both"/>
        <w:rPr>
          <w:rFonts w:ascii="Aptos" w:hAnsi="Aptos" w:cstheme="minorHAnsi"/>
          <w:bCs/>
          <w:sz w:val="20"/>
          <w:szCs w:val="20"/>
        </w:rPr>
      </w:pPr>
    </w:p>
    <w:p w14:paraId="7AD71BA9" w14:textId="77777777" w:rsidR="0078024B" w:rsidRDefault="0078024B" w:rsidP="0078024B">
      <w:pPr>
        <w:spacing w:after="0"/>
        <w:jc w:val="both"/>
        <w:rPr>
          <w:rFonts w:ascii="Aptos" w:hAnsi="Aptos" w:cstheme="minorHAnsi"/>
          <w:bCs/>
          <w:sz w:val="20"/>
          <w:szCs w:val="20"/>
        </w:rPr>
      </w:pPr>
    </w:p>
    <w:p w14:paraId="0D0A5DC2" w14:textId="77777777" w:rsidR="0078024B" w:rsidRDefault="0078024B" w:rsidP="0078024B">
      <w:pPr>
        <w:spacing w:after="0"/>
        <w:jc w:val="both"/>
        <w:rPr>
          <w:rFonts w:ascii="Aptos" w:hAnsi="Aptos" w:cstheme="minorHAnsi"/>
          <w:bCs/>
          <w:sz w:val="20"/>
          <w:szCs w:val="20"/>
        </w:rPr>
      </w:pPr>
    </w:p>
    <w:p w14:paraId="71A4AC9D" w14:textId="77777777" w:rsidR="0078024B" w:rsidRPr="009447EF" w:rsidRDefault="0078024B" w:rsidP="0078024B">
      <w:pPr>
        <w:spacing w:after="0"/>
        <w:jc w:val="both"/>
        <w:rPr>
          <w:rFonts w:ascii="Aptos" w:hAnsi="Aptos" w:cstheme="minorHAnsi"/>
          <w:bCs/>
          <w:sz w:val="20"/>
          <w:szCs w:val="20"/>
        </w:rPr>
      </w:pPr>
    </w:p>
    <w:p w14:paraId="3ACF3F2F" w14:textId="77777777" w:rsidR="00CE5A7B" w:rsidRPr="009447EF" w:rsidRDefault="00CE5A7B" w:rsidP="00CE5A7B">
      <w:pPr>
        <w:spacing w:after="0"/>
        <w:jc w:val="both"/>
        <w:rPr>
          <w:rFonts w:ascii="Aptos" w:hAnsi="Aptos" w:cstheme="minorHAnsi"/>
          <w:bCs/>
          <w:sz w:val="10"/>
          <w:szCs w:val="10"/>
        </w:rPr>
      </w:pPr>
    </w:p>
    <w:p w14:paraId="03D47689" w14:textId="77777777" w:rsidR="0078024B" w:rsidRDefault="0078024B" w:rsidP="00CE5A7B">
      <w:pPr>
        <w:spacing w:after="0"/>
        <w:jc w:val="both"/>
        <w:rPr>
          <w:rFonts w:ascii="Aptos" w:hAnsi="Aptos" w:cstheme="minorHAnsi"/>
          <w:bCs/>
          <w:sz w:val="20"/>
          <w:szCs w:val="20"/>
        </w:rPr>
      </w:pPr>
    </w:p>
    <w:p w14:paraId="4C1B7495" w14:textId="77777777" w:rsidR="0078024B" w:rsidRDefault="0078024B" w:rsidP="00CE5A7B">
      <w:pPr>
        <w:spacing w:after="0"/>
        <w:jc w:val="both"/>
        <w:rPr>
          <w:rFonts w:ascii="Aptos" w:hAnsi="Aptos" w:cstheme="minorHAnsi"/>
          <w:bCs/>
          <w:sz w:val="20"/>
          <w:szCs w:val="20"/>
        </w:rPr>
      </w:pPr>
    </w:p>
    <w:p w14:paraId="44D3267F" w14:textId="77777777" w:rsidR="0078024B" w:rsidRDefault="0078024B" w:rsidP="00CE5A7B">
      <w:pPr>
        <w:spacing w:after="0"/>
        <w:jc w:val="both"/>
        <w:rPr>
          <w:rFonts w:ascii="Aptos" w:hAnsi="Aptos" w:cstheme="minorHAnsi"/>
          <w:bCs/>
          <w:sz w:val="20"/>
          <w:szCs w:val="20"/>
        </w:rPr>
      </w:pPr>
    </w:p>
    <w:p w14:paraId="3BB7BCF9" w14:textId="545465D3" w:rsidR="00CE5A7B" w:rsidRPr="009447EF" w:rsidRDefault="00CE5A7B" w:rsidP="00CE5A7B">
      <w:pPr>
        <w:spacing w:after="0"/>
        <w:jc w:val="both"/>
        <w:rPr>
          <w:rFonts w:ascii="Aptos" w:hAnsi="Aptos" w:cstheme="minorHAnsi"/>
          <w:bCs/>
          <w:sz w:val="20"/>
          <w:szCs w:val="20"/>
        </w:rPr>
      </w:pPr>
      <w:r w:rsidRPr="009447EF">
        <w:rPr>
          <w:rFonts w:ascii="Aptos" w:hAnsi="Aptos" w:cstheme="minorHAnsi"/>
          <w:bCs/>
          <w:sz w:val="20"/>
          <w:szCs w:val="20"/>
        </w:rPr>
        <w:t xml:space="preserve">Puede ejercer directamente su derecho de desistimiento ante la entidad aseguradora que corresponda, que es quien en última instancia debe aceptarla. La Correduría también ofrece su colaboración al tomador para trasladar la solicitud de desistimiento a la entidad aseguradora. Puede ejercer el derecho de desistimiento a través de La Correduría enviando un correo electrónico a hola@turigestio.com. </w:t>
      </w:r>
    </w:p>
    <w:p w14:paraId="12D98090" w14:textId="77777777" w:rsidR="00CE5A7B" w:rsidRPr="009447EF" w:rsidRDefault="00CE5A7B" w:rsidP="00CE5A7B">
      <w:pPr>
        <w:spacing w:after="0"/>
        <w:jc w:val="both"/>
        <w:rPr>
          <w:rFonts w:ascii="Aptos" w:hAnsi="Aptos" w:cstheme="minorHAnsi"/>
          <w:bCs/>
          <w:sz w:val="10"/>
          <w:szCs w:val="10"/>
        </w:rPr>
      </w:pPr>
    </w:p>
    <w:p w14:paraId="3D25E190"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Cs/>
          <w:sz w:val="20"/>
          <w:szCs w:val="20"/>
        </w:rPr>
        <w:t>El consumidor que ejerza el derecho de desistimiento solamente estará obligado a pagar, a la mayor brevedad, el servicio financiero realmente prestado por la aseguradora de conformidad con el contrato, hasta el momento del desistimiento.</w:t>
      </w:r>
    </w:p>
    <w:p w14:paraId="714B3590" w14:textId="77777777" w:rsidR="00CE5A7B" w:rsidRPr="009447EF" w:rsidRDefault="00CE5A7B" w:rsidP="00CE5A7B">
      <w:pPr>
        <w:spacing w:after="0"/>
        <w:jc w:val="both"/>
        <w:rPr>
          <w:rFonts w:ascii="Aptos" w:hAnsi="Aptos" w:cstheme="minorHAnsi"/>
          <w:bCs/>
          <w:sz w:val="10"/>
          <w:szCs w:val="10"/>
        </w:rPr>
      </w:pPr>
    </w:p>
    <w:p w14:paraId="3A75BF58" w14:textId="7959B8AF" w:rsidR="00CE5A7B" w:rsidRDefault="00CE5A7B" w:rsidP="00CE5A7B">
      <w:pPr>
        <w:spacing w:after="0"/>
        <w:jc w:val="both"/>
        <w:rPr>
          <w:rFonts w:ascii="Aptos" w:hAnsi="Aptos" w:cstheme="minorHAnsi"/>
          <w:bCs/>
          <w:sz w:val="20"/>
          <w:szCs w:val="20"/>
        </w:rPr>
      </w:pPr>
      <w:r w:rsidRPr="009447EF">
        <w:rPr>
          <w:rFonts w:ascii="Aptos" w:hAnsi="Aptos" w:cstheme="minorHAnsi"/>
          <w:bCs/>
          <w:sz w:val="20"/>
          <w:szCs w:val="20"/>
        </w:rPr>
        <w:t>El importe que el consumidor deba pagar no rebasará el importe proporcional de la parte ya prestada del servicio comparada con la cobertura total del contrato, ni será en ningún caso de tal magnitud que equivalga a una penalización.</w:t>
      </w:r>
    </w:p>
    <w:p w14:paraId="1549C691" w14:textId="77777777" w:rsidR="0078024B" w:rsidRPr="009447EF" w:rsidRDefault="0078024B" w:rsidP="00CE5A7B">
      <w:pPr>
        <w:spacing w:after="0"/>
        <w:jc w:val="both"/>
        <w:rPr>
          <w:rFonts w:ascii="Aptos" w:hAnsi="Aptos" w:cstheme="minorHAnsi"/>
          <w:bCs/>
          <w:sz w:val="20"/>
          <w:szCs w:val="20"/>
        </w:rPr>
      </w:pPr>
    </w:p>
    <w:p w14:paraId="523A58A7"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Cs/>
          <w:sz w:val="20"/>
          <w:szCs w:val="20"/>
        </w:rPr>
        <w:t>La entidad aseguradora reembolsará al tomador a la mayor brevedad, y dentro de un plazo máximo de treinta días naturales, cualquier cantidad que haya percibido de éste con arreglo a lo establecido en el contrato a distancia. Dicho plazo se iniciará el día en que la aseguradora reciba la notificación del desistimiento.</w:t>
      </w:r>
    </w:p>
    <w:p w14:paraId="2367D5A9" w14:textId="77777777" w:rsidR="00CE5A7B" w:rsidRPr="009447EF" w:rsidRDefault="00CE5A7B" w:rsidP="00CE5A7B">
      <w:pPr>
        <w:spacing w:after="0"/>
        <w:jc w:val="both"/>
        <w:rPr>
          <w:rFonts w:ascii="Aptos" w:hAnsi="Aptos" w:cstheme="minorHAnsi"/>
          <w:bCs/>
          <w:sz w:val="10"/>
          <w:szCs w:val="10"/>
        </w:rPr>
      </w:pPr>
    </w:p>
    <w:p w14:paraId="617C89D0" w14:textId="77777777" w:rsidR="00CE5A7B" w:rsidRPr="009447EF" w:rsidRDefault="00CE5A7B" w:rsidP="00CE5A7B">
      <w:pPr>
        <w:spacing w:after="0"/>
        <w:jc w:val="both"/>
        <w:rPr>
          <w:rFonts w:ascii="Aptos" w:hAnsi="Aptos" w:cstheme="minorHAnsi"/>
          <w:bCs/>
          <w:sz w:val="20"/>
          <w:szCs w:val="20"/>
          <w:lang w:val="es-ES_tradnl"/>
        </w:rPr>
      </w:pPr>
      <w:r w:rsidRPr="009447EF">
        <w:rPr>
          <w:rFonts w:ascii="Aptos" w:hAnsi="Aptos" w:cstheme="minorHAnsi"/>
          <w:b/>
          <w:sz w:val="20"/>
          <w:szCs w:val="20"/>
        </w:rPr>
        <w:t xml:space="preserve">14. Protección de Datos de Carácter Personal: </w:t>
      </w:r>
      <w:r w:rsidRPr="009447EF">
        <w:rPr>
          <w:rFonts w:ascii="Aptos" w:hAnsi="Aptos" w:cstheme="minorHAnsi"/>
          <w:bCs/>
          <w:sz w:val="20"/>
          <w:szCs w:val="20"/>
          <w:lang w:val="es-ES_tradnl"/>
        </w:rPr>
        <w:t>De conformidad con lo dispuesto en el art. 13 del Reglamento (UE) 2016/679 de 27 de abril de 2016 (RGPD) y en el art. 11 de la Ley Orgánica 3/2018, de 5 de diciembre, de Protección de Datos Personales y garantía de los derechos digitales, le facilitamos la siguiente información:</w:t>
      </w:r>
    </w:p>
    <w:p w14:paraId="01BFCD1A" w14:textId="77777777" w:rsidR="00CE5A7B" w:rsidRPr="009447EF" w:rsidRDefault="00CE5A7B" w:rsidP="00CE5A7B">
      <w:pPr>
        <w:spacing w:after="0"/>
        <w:jc w:val="both"/>
        <w:rPr>
          <w:rFonts w:ascii="Aptos" w:hAnsi="Aptos" w:cstheme="minorHAnsi"/>
          <w:bCs/>
          <w:sz w:val="10"/>
          <w:szCs w:val="10"/>
        </w:rPr>
      </w:pPr>
    </w:p>
    <w:p w14:paraId="362C1E6F" w14:textId="77777777" w:rsidR="00CE5A7B" w:rsidRPr="009447EF" w:rsidRDefault="00CE5A7B" w:rsidP="00CE5A7B">
      <w:pPr>
        <w:pStyle w:val="Prrafodelista"/>
        <w:numPr>
          <w:ilvl w:val="0"/>
          <w:numId w:val="12"/>
        </w:numPr>
        <w:spacing w:after="0"/>
        <w:ind w:left="426"/>
        <w:jc w:val="both"/>
        <w:rPr>
          <w:rFonts w:ascii="Aptos" w:hAnsi="Aptos" w:cstheme="minorHAnsi"/>
          <w:bCs/>
          <w:sz w:val="20"/>
          <w:szCs w:val="20"/>
          <w:lang w:val="es-ES_tradnl"/>
        </w:rPr>
      </w:pPr>
      <w:r w:rsidRPr="009447EF">
        <w:rPr>
          <w:rFonts w:ascii="Aptos" w:hAnsi="Aptos" w:cstheme="minorHAnsi"/>
          <w:b/>
          <w:sz w:val="20"/>
          <w:szCs w:val="20"/>
        </w:rPr>
        <w:t>Responsable del Tratamiento:</w:t>
      </w:r>
      <w:r w:rsidRPr="009447EF">
        <w:rPr>
          <w:rFonts w:ascii="Aptos" w:hAnsi="Aptos" w:cstheme="minorHAnsi"/>
          <w:b/>
          <w:bCs/>
          <w:sz w:val="20"/>
          <w:szCs w:val="20"/>
          <w:lang w:val="es-ES_tradnl"/>
        </w:rPr>
        <w:t xml:space="preserve"> </w:t>
      </w:r>
      <w:r w:rsidRPr="009447EF">
        <w:rPr>
          <w:rFonts w:ascii="Aptos" w:hAnsi="Aptos" w:cstheme="minorHAnsi"/>
          <w:bCs/>
          <w:sz w:val="20"/>
          <w:szCs w:val="20"/>
        </w:rPr>
        <w:t xml:space="preserve">TURI GESTIÓ, S.L.U.  </w:t>
      </w:r>
    </w:p>
    <w:p w14:paraId="559866CF" w14:textId="77777777" w:rsidR="00CE5A7B" w:rsidRPr="009447EF" w:rsidRDefault="00CE5A7B" w:rsidP="00CE5A7B">
      <w:pPr>
        <w:pStyle w:val="Prrafodelista"/>
        <w:numPr>
          <w:ilvl w:val="0"/>
          <w:numId w:val="12"/>
        </w:numPr>
        <w:spacing w:after="0"/>
        <w:ind w:left="426"/>
        <w:jc w:val="both"/>
        <w:rPr>
          <w:rFonts w:ascii="Aptos" w:hAnsi="Aptos" w:cstheme="minorHAnsi"/>
          <w:bCs/>
          <w:sz w:val="20"/>
          <w:szCs w:val="20"/>
          <w:lang w:val="es-ES_tradnl"/>
        </w:rPr>
      </w:pPr>
      <w:r w:rsidRPr="009447EF">
        <w:rPr>
          <w:rFonts w:ascii="Aptos" w:hAnsi="Aptos" w:cstheme="minorHAnsi"/>
          <w:b/>
          <w:sz w:val="20"/>
          <w:szCs w:val="20"/>
        </w:rPr>
        <w:t>Finalidades del tratamiento:</w:t>
      </w:r>
      <w:r w:rsidRPr="009447EF">
        <w:rPr>
          <w:rFonts w:ascii="Aptos" w:hAnsi="Aptos" w:cstheme="minorHAnsi"/>
          <w:bCs/>
          <w:sz w:val="20"/>
          <w:szCs w:val="20"/>
          <w:lang w:val="es-ES_tradnl"/>
        </w:rPr>
        <w:t xml:space="preserve"> La actividad de asesoramiento, propuesta y realización de trabajo previo a la celebración de un contrato de seguro, así como, en su caso, la posterior asistencia en la celebración de estos contratos y en la gestión y ejecución de dichos contratos, incluida la asistencia y asesoramiento en caso de siniestro. Usted nos autoriza a trasladar en su nombre las comunicaciones que nos haga llegar, incluidas las de suscripción, modificación y rescisión de contratos de seguro, </w:t>
      </w:r>
      <w:r w:rsidRPr="009447EF">
        <w:rPr>
          <w:rFonts w:ascii="Aptos" w:hAnsi="Aptos" w:cstheme="minorHAnsi"/>
          <w:bCs/>
          <w:sz w:val="20"/>
          <w:szCs w:val="20"/>
        </w:rPr>
        <w:t>que deberán constar debidamente acreditadas</w:t>
      </w:r>
      <w:r w:rsidRPr="009447EF">
        <w:rPr>
          <w:rFonts w:ascii="Aptos" w:hAnsi="Aptos" w:cstheme="minorHAnsi"/>
          <w:bCs/>
          <w:sz w:val="20"/>
          <w:szCs w:val="20"/>
          <w:lang w:val="es-ES_tradnl"/>
        </w:rPr>
        <w:t>. Los datos se conservarán durante la vigencia de las pólizas y, una vez canceladas, durante seis años, de conformidad con lo establecido en el art. 30.1 del Código de Comercio.</w:t>
      </w:r>
    </w:p>
    <w:p w14:paraId="52AD05EA" w14:textId="77777777" w:rsidR="00CE5A7B" w:rsidRPr="009447EF" w:rsidRDefault="00CE5A7B" w:rsidP="00CE5A7B">
      <w:pPr>
        <w:spacing w:after="0"/>
        <w:ind w:left="426"/>
        <w:jc w:val="both"/>
        <w:rPr>
          <w:rFonts w:ascii="Aptos" w:hAnsi="Aptos" w:cstheme="minorHAnsi"/>
          <w:bCs/>
          <w:sz w:val="20"/>
          <w:szCs w:val="20"/>
          <w:lang w:val="es-ES_tradnl"/>
        </w:rPr>
      </w:pPr>
      <w:r w:rsidRPr="009447EF">
        <w:rPr>
          <w:rFonts w:ascii="Aptos" w:hAnsi="Aptos" w:cstheme="minorHAnsi"/>
          <w:bCs/>
          <w:sz w:val="20"/>
          <w:szCs w:val="20"/>
          <w:lang w:val="es-ES_tradnl"/>
        </w:rPr>
        <w:t>En el caso de los productos de vida o inversión, además tratamos los datos facilitados con el objeto de cumplir con nuestras obligaciones legales en prevención del blanqueo de capitales. Los datos se conservarán durante diez años, de conformidad con el art. 25 de la Ley 10/2010, de 28 de abril.</w:t>
      </w:r>
    </w:p>
    <w:p w14:paraId="52C8BF5E" w14:textId="77777777" w:rsidR="00CE5A7B" w:rsidRPr="009447EF" w:rsidRDefault="00CE5A7B" w:rsidP="00CE5A7B">
      <w:pPr>
        <w:spacing w:after="0"/>
        <w:ind w:left="426"/>
        <w:jc w:val="both"/>
        <w:rPr>
          <w:rFonts w:ascii="Aptos" w:hAnsi="Aptos" w:cstheme="minorHAnsi"/>
          <w:bCs/>
          <w:sz w:val="20"/>
          <w:szCs w:val="20"/>
          <w:lang w:val="es-ES_tradnl"/>
        </w:rPr>
      </w:pPr>
      <w:r w:rsidRPr="009447EF">
        <w:rPr>
          <w:rFonts w:ascii="Aptos" w:hAnsi="Aptos" w:cstheme="minorHAnsi"/>
          <w:bCs/>
          <w:sz w:val="20"/>
          <w:szCs w:val="20"/>
        </w:rPr>
        <w:t>El envío por medios electrónicos y tradicionales de información acerca de los productos de seguro de la Correduría que sean de su interés, especialmente cuando haya sido cancelado un contrato de seguro y sea necesaria la cobertura del riesgo</w:t>
      </w:r>
      <w:r w:rsidRPr="009447EF">
        <w:rPr>
          <w:rFonts w:ascii="Aptos" w:hAnsi="Aptos" w:cstheme="minorHAnsi"/>
          <w:bCs/>
          <w:sz w:val="20"/>
          <w:szCs w:val="20"/>
          <w:lang w:val="es-ES_tradnl"/>
        </w:rPr>
        <w:t>. Los datos se tratarán durante la vigencia de su/s póliza/s, así como una vez cancelada/s mientras no manifieste su oposición.</w:t>
      </w:r>
    </w:p>
    <w:p w14:paraId="7A625F6C" w14:textId="77777777" w:rsidR="00CE5A7B" w:rsidRPr="009447EF" w:rsidRDefault="00CE5A7B" w:rsidP="00CE5A7B">
      <w:pPr>
        <w:pStyle w:val="Prrafodelista"/>
        <w:numPr>
          <w:ilvl w:val="0"/>
          <w:numId w:val="12"/>
        </w:numPr>
        <w:spacing w:after="0"/>
        <w:ind w:left="426"/>
        <w:jc w:val="both"/>
        <w:rPr>
          <w:rFonts w:ascii="Aptos" w:hAnsi="Aptos" w:cstheme="minorHAnsi"/>
          <w:bCs/>
          <w:sz w:val="20"/>
          <w:szCs w:val="20"/>
          <w:lang w:val="es-ES_tradnl"/>
        </w:rPr>
      </w:pPr>
      <w:r w:rsidRPr="009447EF">
        <w:rPr>
          <w:rFonts w:ascii="Aptos" w:hAnsi="Aptos" w:cstheme="minorHAnsi"/>
          <w:b/>
          <w:sz w:val="20"/>
          <w:szCs w:val="20"/>
        </w:rPr>
        <w:t>Legitimación:</w:t>
      </w:r>
      <w:r w:rsidRPr="009447EF">
        <w:rPr>
          <w:rFonts w:ascii="Aptos" w:hAnsi="Aptos" w:cstheme="minorHAnsi"/>
          <w:bCs/>
          <w:sz w:val="20"/>
          <w:szCs w:val="20"/>
          <w:lang w:val="es-ES_tradnl"/>
        </w:rPr>
        <w:t xml:space="preserve"> La base de legitimación del tratamiento de la actividad de mediación de seguros es la ejecución de un contrato y su consentimiento. </w:t>
      </w:r>
    </w:p>
    <w:p w14:paraId="2AF3B01E" w14:textId="77777777" w:rsidR="00CE5A7B" w:rsidRPr="009447EF" w:rsidRDefault="00CE5A7B" w:rsidP="00CE5A7B">
      <w:pPr>
        <w:spacing w:after="0"/>
        <w:ind w:left="426"/>
        <w:jc w:val="both"/>
        <w:rPr>
          <w:rFonts w:ascii="Aptos" w:hAnsi="Aptos" w:cstheme="minorHAnsi"/>
          <w:bCs/>
          <w:sz w:val="20"/>
          <w:szCs w:val="20"/>
          <w:lang w:val="es-ES_tradnl"/>
        </w:rPr>
      </w:pPr>
      <w:r w:rsidRPr="009447EF">
        <w:rPr>
          <w:rFonts w:ascii="Aptos" w:hAnsi="Aptos" w:cstheme="minorHAnsi"/>
          <w:bCs/>
          <w:sz w:val="20"/>
          <w:szCs w:val="20"/>
          <w:lang w:val="es-ES_tradnl"/>
        </w:rPr>
        <w:t xml:space="preserve">La base que legitima el tratamiento de prevención del blanqueo de capitales es el cumplimiento de nuestras obligaciones legales. </w:t>
      </w:r>
    </w:p>
    <w:p w14:paraId="61B8285E" w14:textId="77777777" w:rsidR="00CE5A7B" w:rsidRPr="009447EF" w:rsidRDefault="00CE5A7B" w:rsidP="00CE5A7B">
      <w:pPr>
        <w:spacing w:after="0"/>
        <w:ind w:left="426"/>
        <w:jc w:val="both"/>
        <w:rPr>
          <w:rFonts w:ascii="Aptos" w:hAnsi="Aptos" w:cstheme="minorHAnsi"/>
          <w:bCs/>
          <w:sz w:val="20"/>
          <w:szCs w:val="20"/>
          <w:lang w:val="es-ES_tradnl"/>
        </w:rPr>
      </w:pPr>
      <w:r w:rsidRPr="009447EF">
        <w:rPr>
          <w:rFonts w:ascii="Aptos" w:hAnsi="Aptos" w:cstheme="minorHAnsi"/>
          <w:bCs/>
          <w:sz w:val="20"/>
          <w:szCs w:val="20"/>
          <w:lang w:val="es-ES_tradnl"/>
        </w:rPr>
        <w:t>La base que legitima el tratamiento con fines comerciales es un interés legítimo en la promoción de nuestros productos de seguro.</w:t>
      </w:r>
    </w:p>
    <w:p w14:paraId="70F18433" w14:textId="77777777" w:rsidR="00CE5A7B" w:rsidRPr="009447EF" w:rsidRDefault="00CE5A7B" w:rsidP="00CE5A7B">
      <w:pPr>
        <w:spacing w:after="0"/>
        <w:ind w:firstLine="426"/>
        <w:jc w:val="both"/>
        <w:rPr>
          <w:rFonts w:ascii="Aptos" w:hAnsi="Aptos" w:cstheme="minorHAnsi"/>
          <w:bCs/>
          <w:sz w:val="20"/>
          <w:szCs w:val="20"/>
          <w:lang w:val="es-ES_tradnl"/>
        </w:rPr>
      </w:pPr>
      <w:r w:rsidRPr="009447EF">
        <w:rPr>
          <w:rFonts w:ascii="Aptos" w:hAnsi="Aptos" w:cstheme="minorHAnsi"/>
          <w:bCs/>
          <w:sz w:val="20"/>
          <w:szCs w:val="20"/>
          <w:lang w:val="es-ES_tradnl"/>
        </w:rPr>
        <w:t>Al facilitarnos los datos de un tercero, Usted nos garantiza el tratamiento legítimo de los datos.</w:t>
      </w:r>
    </w:p>
    <w:p w14:paraId="7C698180" w14:textId="77777777" w:rsidR="00CE5A7B" w:rsidRDefault="00CE5A7B" w:rsidP="00CE5A7B">
      <w:pPr>
        <w:pStyle w:val="Prrafodelista"/>
        <w:numPr>
          <w:ilvl w:val="0"/>
          <w:numId w:val="12"/>
        </w:numPr>
        <w:spacing w:after="0"/>
        <w:ind w:left="426"/>
        <w:jc w:val="both"/>
        <w:rPr>
          <w:rFonts w:ascii="Aptos" w:hAnsi="Aptos" w:cstheme="minorHAnsi"/>
          <w:bCs/>
          <w:sz w:val="20"/>
          <w:szCs w:val="20"/>
          <w:lang w:val="es-ES_tradnl"/>
        </w:rPr>
      </w:pPr>
      <w:r w:rsidRPr="009447EF">
        <w:rPr>
          <w:rFonts w:ascii="Aptos" w:hAnsi="Aptos" w:cstheme="minorHAnsi"/>
          <w:b/>
          <w:sz w:val="20"/>
          <w:szCs w:val="20"/>
        </w:rPr>
        <w:t>Destinatarios:</w:t>
      </w:r>
      <w:r w:rsidRPr="009447EF">
        <w:rPr>
          <w:rFonts w:ascii="Aptos" w:hAnsi="Aptos" w:cstheme="minorHAnsi"/>
          <w:bCs/>
          <w:sz w:val="20"/>
          <w:szCs w:val="20"/>
          <w:lang w:val="es-ES_tradnl"/>
        </w:rPr>
        <w:t xml:space="preserve"> En cuanto a la actividad de mediación de seguros, sus datos deberán cederse necesariamente a las aseguradoras, a agencias de suscripción y, cuando de las anteriores entidades no obtuviésemos una opción adecuada de seguro, a otros corredores de seguros. Cuando sea necesario para la gestión de un siniestro: a abogados, peritos y valoradores. En el caso de los productos de vida, al Registro de contratos de seguros de cobertura de fallecimiento.</w:t>
      </w:r>
    </w:p>
    <w:p w14:paraId="7A98D1A0" w14:textId="77777777" w:rsidR="0078024B" w:rsidRDefault="0078024B" w:rsidP="0078024B">
      <w:pPr>
        <w:spacing w:after="0"/>
        <w:jc w:val="both"/>
        <w:rPr>
          <w:rFonts w:ascii="Aptos" w:hAnsi="Aptos" w:cstheme="minorHAnsi"/>
          <w:bCs/>
          <w:sz w:val="20"/>
          <w:szCs w:val="20"/>
          <w:lang w:val="es-ES_tradnl"/>
        </w:rPr>
      </w:pPr>
    </w:p>
    <w:p w14:paraId="64BB61C0" w14:textId="77777777" w:rsidR="0078024B" w:rsidRDefault="0078024B" w:rsidP="0078024B">
      <w:pPr>
        <w:spacing w:after="0"/>
        <w:jc w:val="both"/>
        <w:rPr>
          <w:rFonts w:ascii="Aptos" w:hAnsi="Aptos" w:cstheme="minorHAnsi"/>
          <w:bCs/>
          <w:sz w:val="20"/>
          <w:szCs w:val="20"/>
          <w:lang w:val="es-ES_tradnl"/>
        </w:rPr>
      </w:pPr>
    </w:p>
    <w:p w14:paraId="75B4C636" w14:textId="77777777" w:rsidR="0078024B" w:rsidRDefault="0078024B" w:rsidP="0078024B">
      <w:pPr>
        <w:spacing w:after="0"/>
        <w:jc w:val="both"/>
        <w:rPr>
          <w:rFonts w:ascii="Aptos" w:hAnsi="Aptos" w:cstheme="minorHAnsi"/>
          <w:bCs/>
          <w:sz w:val="20"/>
          <w:szCs w:val="20"/>
          <w:lang w:val="es-ES_tradnl"/>
        </w:rPr>
      </w:pPr>
    </w:p>
    <w:p w14:paraId="2D2C68BF" w14:textId="77777777" w:rsidR="0078024B" w:rsidRPr="0078024B" w:rsidRDefault="0078024B" w:rsidP="0078024B">
      <w:pPr>
        <w:spacing w:after="0"/>
        <w:jc w:val="both"/>
        <w:rPr>
          <w:rFonts w:ascii="Aptos" w:hAnsi="Aptos" w:cstheme="minorHAnsi"/>
          <w:bCs/>
          <w:sz w:val="20"/>
          <w:szCs w:val="20"/>
          <w:lang w:val="es-ES_tradnl"/>
        </w:rPr>
      </w:pPr>
    </w:p>
    <w:p w14:paraId="77359D19" w14:textId="77777777" w:rsidR="0078024B" w:rsidRDefault="0078024B" w:rsidP="00CE5A7B">
      <w:pPr>
        <w:spacing w:after="0"/>
        <w:ind w:left="426"/>
        <w:jc w:val="both"/>
        <w:rPr>
          <w:rFonts w:ascii="Aptos" w:hAnsi="Aptos" w:cstheme="minorHAnsi"/>
          <w:bCs/>
          <w:sz w:val="20"/>
          <w:szCs w:val="20"/>
          <w:lang w:val="es-ES_tradnl"/>
        </w:rPr>
      </w:pPr>
    </w:p>
    <w:p w14:paraId="39EDB3DB" w14:textId="77777777" w:rsidR="0078024B" w:rsidRDefault="0078024B" w:rsidP="00CE5A7B">
      <w:pPr>
        <w:spacing w:after="0"/>
        <w:ind w:left="426"/>
        <w:jc w:val="both"/>
        <w:rPr>
          <w:rFonts w:ascii="Aptos" w:hAnsi="Aptos" w:cstheme="minorHAnsi"/>
          <w:bCs/>
          <w:sz w:val="20"/>
          <w:szCs w:val="20"/>
          <w:lang w:val="es-ES_tradnl"/>
        </w:rPr>
      </w:pPr>
    </w:p>
    <w:p w14:paraId="7699F7C5" w14:textId="5ED8B03B" w:rsidR="00CE5A7B" w:rsidRPr="009447EF" w:rsidRDefault="00CE5A7B" w:rsidP="00CE5A7B">
      <w:pPr>
        <w:spacing w:after="0"/>
        <w:ind w:left="426"/>
        <w:jc w:val="both"/>
        <w:rPr>
          <w:rFonts w:ascii="Aptos" w:hAnsi="Aptos" w:cstheme="minorHAnsi"/>
          <w:bCs/>
          <w:sz w:val="20"/>
          <w:szCs w:val="20"/>
          <w:lang w:val="es-ES_tradnl"/>
        </w:rPr>
      </w:pPr>
      <w:r w:rsidRPr="009447EF">
        <w:rPr>
          <w:rFonts w:ascii="Aptos" w:hAnsi="Aptos" w:cstheme="minorHAnsi"/>
          <w:bCs/>
          <w:sz w:val="20"/>
          <w:szCs w:val="20"/>
          <w:lang w:val="es-ES_tradnl"/>
        </w:rPr>
        <w:t>En el cumplimiento de nuestras obligaciones de prevención del blanqueo de capitales, los datos podrán comunicarse a las autoridades competentes en la materia.</w:t>
      </w:r>
    </w:p>
    <w:p w14:paraId="0BC32C8B" w14:textId="77777777" w:rsidR="00CE5A7B" w:rsidRPr="009447EF" w:rsidRDefault="00CE5A7B" w:rsidP="00CE5A7B">
      <w:pPr>
        <w:spacing w:after="0"/>
        <w:ind w:left="426"/>
        <w:jc w:val="both"/>
        <w:rPr>
          <w:rFonts w:ascii="Aptos" w:hAnsi="Aptos" w:cstheme="minorHAnsi"/>
          <w:bCs/>
          <w:sz w:val="20"/>
          <w:szCs w:val="20"/>
          <w:lang w:val="es-ES_tradnl"/>
        </w:rPr>
      </w:pPr>
      <w:r w:rsidRPr="009447EF">
        <w:rPr>
          <w:rFonts w:ascii="Aptos" w:hAnsi="Aptos" w:cstheme="minorHAnsi"/>
          <w:bCs/>
          <w:sz w:val="20"/>
          <w:szCs w:val="20"/>
          <w:lang w:val="es-ES_tradnl"/>
        </w:rPr>
        <w:t>Cuando por el uso de tecnología o por la suscripción de contratos de seguro de entidades de fuera del Espacio Económico Europeo se produzca una transferencia internacional de datos, siempre estará amparada por el RGPD.</w:t>
      </w:r>
    </w:p>
    <w:p w14:paraId="59907A3B" w14:textId="5E0D4FBF" w:rsidR="00CE5A7B" w:rsidRPr="009447EF" w:rsidRDefault="00CE5A7B" w:rsidP="00CE5A7B">
      <w:pPr>
        <w:spacing w:after="0"/>
        <w:ind w:left="426"/>
        <w:jc w:val="both"/>
        <w:rPr>
          <w:rFonts w:ascii="Aptos" w:hAnsi="Aptos" w:cstheme="minorHAnsi"/>
          <w:bCs/>
          <w:sz w:val="20"/>
          <w:szCs w:val="20"/>
          <w:lang w:val="es-ES_tradnl"/>
        </w:rPr>
      </w:pPr>
      <w:r w:rsidRPr="009447EF">
        <w:rPr>
          <w:rFonts w:ascii="Aptos" w:hAnsi="Aptos" w:cstheme="minorHAnsi"/>
          <w:bCs/>
          <w:sz w:val="20"/>
          <w:szCs w:val="20"/>
        </w:rPr>
        <w:t>A nuestras empresas del grupo GRUP T AUTOMOCIÓ: AUTOLEBEN MOTOR, SLU, CARROCERIA Y PINTURA MULTIMARCA, SLU, GRUP T SEMINOUS, SLU, LINKCAR AUTOMOCIO, SLU, RENT BAIX, SLU, FRANDOR GESTIÓN, SL, TURIAUTO, SAU, TURYCAR, SAU, VOTUR SLU Y LINKMOTOR, S</w:t>
      </w:r>
      <w:r w:rsidR="00294C96">
        <w:rPr>
          <w:rFonts w:ascii="Aptos" w:hAnsi="Aptos" w:cstheme="minorHAnsi"/>
          <w:bCs/>
          <w:sz w:val="20"/>
          <w:szCs w:val="20"/>
        </w:rPr>
        <w:t xml:space="preserve">, NOVACAR BCN, </w:t>
      </w:r>
      <w:r w:rsidR="001E3A7C">
        <w:rPr>
          <w:rFonts w:ascii="Aptos" w:hAnsi="Aptos" w:cstheme="minorHAnsi"/>
          <w:bCs/>
          <w:sz w:val="20"/>
          <w:szCs w:val="20"/>
        </w:rPr>
        <w:t>MOTOVIVO SL</w:t>
      </w:r>
    </w:p>
    <w:p w14:paraId="116104B1" w14:textId="493B72B5" w:rsidR="00CE5A7B" w:rsidRPr="001E3A7C" w:rsidRDefault="00CE5A7B" w:rsidP="00F8421A">
      <w:pPr>
        <w:pStyle w:val="Prrafodelista"/>
        <w:numPr>
          <w:ilvl w:val="0"/>
          <w:numId w:val="12"/>
        </w:numPr>
        <w:spacing w:after="0"/>
        <w:ind w:left="426"/>
        <w:jc w:val="both"/>
        <w:rPr>
          <w:rFonts w:ascii="Aptos" w:hAnsi="Aptos" w:cstheme="minorHAnsi"/>
          <w:b/>
          <w:sz w:val="20"/>
          <w:szCs w:val="20"/>
        </w:rPr>
      </w:pPr>
      <w:r w:rsidRPr="001E3A7C">
        <w:rPr>
          <w:rFonts w:ascii="Aptos" w:hAnsi="Aptos" w:cstheme="minorHAnsi"/>
          <w:b/>
          <w:sz w:val="20"/>
          <w:szCs w:val="20"/>
        </w:rPr>
        <w:t>Derechos:</w:t>
      </w:r>
      <w:r w:rsidRPr="001E3A7C">
        <w:rPr>
          <w:rFonts w:ascii="Aptos" w:hAnsi="Aptos" w:cstheme="minorHAnsi"/>
          <w:bCs/>
          <w:sz w:val="20"/>
          <w:szCs w:val="20"/>
          <w:lang w:val="es-ES_tradnl"/>
        </w:rPr>
        <w:t xml:space="preserve"> Tiene derecho a retirar el consentimiento para tratar sus datos en cualquier momento sin que ello afecte a la validez del tratamiento previo realizado. Puede ejercer los derechos de acceso, rectificación, supresión y portabilidad de sus datos y los de limitación u oposición al tratamiento, para ello deberá dirigirse, por escrito, a</w:t>
      </w:r>
      <w:r w:rsidRPr="001E3A7C">
        <w:rPr>
          <w:rFonts w:ascii="Aptos" w:hAnsi="Aptos" w:cstheme="minorHAnsi"/>
          <w:bCs/>
          <w:sz w:val="20"/>
          <w:szCs w:val="20"/>
        </w:rPr>
        <w:t xml:space="preserve"> hola@turigestio.com</w:t>
      </w:r>
      <w:r w:rsidRPr="001E3A7C">
        <w:rPr>
          <w:rFonts w:ascii="Aptos" w:hAnsi="Aptos" w:cstheme="minorHAnsi"/>
          <w:bCs/>
          <w:sz w:val="20"/>
          <w:szCs w:val="20"/>
          <w:lang w:val="es-ES_tradnl"/>
        </w:rPr>
        <w:t xml:space="preserve">, adjuntando copia de su DNI. Si considera que el tratamiento de sus datos no se ajusta a la normativa vigente, tiene derecho a presentar una reclamación ante la Autoridad de Control: Agencia Española de Protección de Datos, c/ Jorge Juan, </w:t>
      </w:r>
      <w:proofErr w:type="spellStart"/>
      <w:r w:rsidRPr="001E3A7C">
        <w:rPr>
          <w:rFonts w:ascii="Aptos" w:hAnsi="Aptos" w:cstheme="minorHAnsi"/>
          <w:bCs/>
          <w:sz w:val="20"/>
          <w:szCs w:val="20"/>
          <w:lang w:val="es-ES_tradnl"/>
        </w:rPr>
        <w:t>nº</w:t>
      </w:r>
      <w:proofErr w:type="spellEnd"/>
      <w:r w:rsidRPr="001E3A7C">
        <w:rPr>
          <w:rFonts w:ascii="Aptos" w:hAnsi="Aptos" w:cstheme="minorHAnsi"/>
          <w:bCs/>
          <w:sz w:val="20"/>
          <w:szCs w:val="20"/>
          <w:lang w:val="es-ES_tradnl"/>
        </w:rPr>
        <w:t xml:space="preserve"> 6, 28001 Madrid, www.aepd.es.</w:t>
      </w:r>
    </w:p>
    <w:p w14:paraId="51FDA77B" w14:textId="77777777" w:rsidR="00CE5A7B" w:rsidRPr="009447EF" w:rsidRDefault="00CE5A7B" w:rsidP="00CE5A7B">
      <w:pPr>
        <w:spacing w:after="0"/>
        <w:jc w:val="both"/>
        <w:rPr>
          <w:rFonts w:ascii="Aptos" w:hAnsi="Aptos" w:cstheme="minorHAnsi"/>
          <w:b/>
          <w:sz w:val="20"/>
          <w:szCs w:val="20"/>
        </w:rPr>
      </w:pPr>
    </w:p>
    <w:p w14:paraId="0B0F07D5"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
          <w:sz w:val="20"/>
          <w:szCs w:val="20"/>
        </w:rPr>
        <w:t>15. Ámbito territorial, lengua, ley aplicable y jurisdicción:</w:t>
      </w:r>
      <w:r w:rsidRPr="009447EF">
        <w:rPr>
          <w:rFonts w:ascii="Aptos" w:hAnsi="Aptos" w:cstheme="minorHAnsi"/>
          <w:b/>
          <w:bCs/>
          <w:sz w:val="20"/>
          <w:szCs w:val="20"/>
          <w:lang w:val="es-ES_tradnl"/>
        </w:rPr>
        <w:t xml:space="preserve"> </w:t>
      </w:r>
      <w:r w:rsidRPr="009447EF">
        <w:rPr>
          <w:rFonts w:ascii="Aptos" w:hAnsi="Aptos" w:cstheme="minorHAnsi"/>
          <w:bCs/>
          <w:sz w:val="20"/>
          <w:szCs w:val="20"/>
          <w:lang w:val="es-ES_tradnl"/>
        </w:rPr>
        <w:t>Nuestra actuación está dirigida exclusivamente a la cobertura de riesgos ubicados en España. Aunque pueda encontrarse información en diferentes idiomas, sólo garantizamos poder facilitarle toda la documentación en castellano. Cualquier litigio o discrepancia en relación a la actividad de La Correduría, relativa a una contratación a distancia, se regirá por la legislación española y se someterá a los juzgados y tribunales del domicilio del cliente en España.</w:t>
      </w:r>
    </w:p>
    <w:p w14:paraId="5AAC2A4E" w14:textId="77777777" w:rsidR="00CE5A7B" w:rsidRPr="009447EF" w:rsidRDefault="00CE5A7B" w:rsidP="00CE5A7B">
      <w:pPr>
        <w:spacing w:after="0"/>
        <w:jc w:val="both"/>
        <w:rPr>
          <w:rFonts w:ascii="Aptos" w:hAnsi="Aptos" w:cstheme="minorHAnsi"/>
          <w:bCs/>
          <w:sz w:val="20"/>
          <w:szCs w:val="20"/>
        </w:rPr>
      </w:pPr>
    </w:p>
    <w:p w14:paraId="19DFC775" w14:textId="77777777" w:rsidR="00CE5A7B" w:rsidRPr="009447EF" w:rsidRDefault="00CE5A7B" w:rsidP="00CE5A7B">
      <w:pPr>
        <w:spacing w:after="0"/>
        <w:jc w:val="both"/>
        <w:rPr>
          <w:rFonts w:ascii="Aptos" w:hAnsi="Aptos" w:cstheme="minorHAnsi"/>
          <w:bCs/>
          <w:sz w:val="20"/>
          <w:szCs w:val="20"/>
        </w:rPr>
      </w:pPr>
      <w:r w:rsidRPr="009447EF">
        <w:rPr>
          <w:rFonts w:ascii="Aptos" w:hAnsi="Aptos" w:cstheme="minorHAnsi"/>
          <w:b/>
          <w:sz w:val="20"/>
          <w:szCs w:val="20"/>
        </w:rPr>
        <w:t>16. Actualización:</w:t>
      </w:r>
      <w:r w:rsidRPr="009447EF">
        <w:rPr>
          <w:rFonts w:ascii="Aptos" w:hAnsi="Aptos" w:cstheme="minorHAnsi"/>
          <w:b/>
          <w:bCs/>
          <w:sz w:val="20"/>
          <w:szCs w:val="20"/>
          <w:lang w:val="es-ES_tradnl"/>
        </w:rPr>
        <w:t xml:space="preserve"> </w:t>
      </w:r>
      <w:r w:rsidRPr="009447EF">
        <w:rPr>
          <w:rFonts w:ascii="Aptos" w:hAnsi="Aptos" w:cstheme="minorHAnsi"/>
          <w:bCs/>
          <w:sz w:val="20"/>
          <w:szCs w:val="20"/>
          <w:lang w:val="es-ES_tradnl"/>
        </w:rPr>
        <w:t>Este documento se actualiza periódicamente con el objeto de adaptarlo a los cambios que puedan producirse en nuestra organización, así como a las diferentes modificaciones normativas.</w:t>
      </w:r>
    </w:p>
    <w:p w14:paraId="38F3942B" w14:textId="77777777" w:rsidR="00CE5A7B" w:rsidRPr="009447EF" w:rsidRDefault="00CE5A7B" w:rsidP="00CE5A7B">
      <w:pPr>
        <w:spacing w:after="0"/>
        <w:jc w:val="both"/>
        <w:rPr>
          <w:rFonts w:ascii="Aptos" w:hAnsi="Aptos" w:cstheme="minorHAnsi"/>
          <w:bCs/>
          <w:sz w:val="20"/>
          <w:szCs w:val="20"/>
        </w:rPr>
      </w:pPr>
    </w:p>
    <w:p w14:paraId="73880617" w14:textId="77777777" w:rsidR="00CE5A7B" w:rsidRPr="009447EF" w:rsidRDefault="00CE5A7B" w:rsidP="00CE5A7B">
      <w:pPr>
        <w:spacing w:after="0"/>
        <w:jc w:val="both"/>
        <w:rPr>
          <w:rFonts w:ascii="Aptos" w:hAnsi="Aptos" w:cstheme="minorHAnsi"/>
          <w:bCs/>
          <w:sz w:val="22"/>
          <w:szCs w:val="22"/>
        </w:rPr>
      </w:pPr>
    </w:p>
    <w:p w14:paraId="1C1EA8CD" w14:textId="5D323448" w:rsidR="00CE5A7B" w:rsidRPr="009447EF" w:rsidRDefault="00CE5A7B" w:rsidP="00CE5A7B">
      <w:pPr>
        <w:spacing w:after="0"/>
        <w:jc w:val="both"/>
        <w:rPr>
          <w:rFonts w:ascii="Aptos" w:hAnsi="Aptos" w:cstheme="minorHAnsi"/>
          <w:bCs/>
          <w:sz w:val="22"/>
          <w:szCs w:val="22"/>
        </w:rPr>
      </w:pPr>
      <w:r w:rsidRPr="009447EF">
        <w:rPr>
          <w:rFonts w:ascii="Aptos" w:hAnsi="Aptos" w:cstheme="minorHAnsi"/>
          <w:bCs/>
          <w:sz w:val="22"/>
          <w:szCs w:val="22"/>
        </w:rPr>
        <w:t>[</w:t>
      </w:r>
      <w:proofErr w:type="spellStart"/>
      <w:r w:rsidRPr="009447EF">
        <w:rPr>
          <w:rFonts w:ascii="Aptos" w:hAnsi="Aptos" w:cstheme="minorHAnsi"/>
          <w:bCs/>
          <w:sz w:val="22"/>
          <w:szCs w:val="22"/>
        </w:rPr>
        <w:t>CLIENTES.sLocalidad</w:t>
      </w:r>
      <w:proofErr w:type="spellEnd"/>
      <w:r w:rsidRPr="009447EF">
        <w:rPr>
          <w:rFonts w:ascii="Aptos" w:hAnsi="Aptos" w:cstheme="minorHAnsi"/>
          <w:bCs/>
          <w:sz w:val="22"/>
          <w:szCs w:val="22"/>
        </w:rPr>
        <w:t xml:space="preserve">], a </w:t>
      </w:r>
      <w:r w:rsidRPr="009447EF">
        <w:rPr>
          <w:rFonts w:ascii="Aptos" w:hAnsi="Aptos" w:cstheme="minorHAnsi"/>
          <w:bCs/>
          <w:sz w:val="22"/>
          <w:szCs w:val="22"/>
        </w:rPr>
        <w:fldChar w:fldCharType="begin"/>
      </w:r>
      <w:r w:rsidRPr="009447EF">
        <w:rPr>
          <w:rFonts w:ascii="Aptos" w:hAnsi="Aptos" w:cstheme="minorHAnsi"/>
          <w:bCs/>
          <w:sz w:val="22"/>
          <w:szCs w:val="22"/>
        </w:rPr>
        <w:instrText xml:space="preserve"> TIME \@ "d' de 'MMMM' de 'yyyy" </w:instrText>
      </w:r>
      <w:r w:rsidRPr="009447EF">
        <w:rPr>
          <w:rFonts w:ascii="Aptos" w:hAnsi="Aptos" w:cstheme="minorHAnsi"/>
          <w:bCs/>
          <w:sz w:val="22"/>
          <w:szCs w:val="22"/>
        </w:rPr>
        <w:fldChar w:fldCharType="separate"/>
      </w:r>
      <w:r w:rsidR="009447EF" w:rsidRPr="009447EF">
        <w:rPr>
          <w:rFonts w:ascii="Aptos" w:hAnsi="Aptos" w:cstheme="minorHAnsi"/>
          <w:bCs/>
          <w:noProof/>
          <w:sz w:val="22"/>
          <w:szCs w:val="22"/>
        </w:rPr>
        <w:t>21 de julio de 2025</w:t>
      </w:r>
      <w:r w:rsidRPr="009447EF">
        <w:rPr>
          <w:rFonts w:ascii="Aptos" w:hAnsi="Aptos" w:cstheme="minorHAnsi"/>
          <w:bCs/>
          <w:sz w:val="22"/>
          <w:szCs w:val="22"/>
        </w:rPr>
        <w:fldChar w:fldCharType="end"/>
      </w:r>
    </w:p>
    <w:p w14:paraId="5F3E9225" w14:textId="77777777" w:rsidR="00CE5A7B" w:rsidRPr="009447EF" w:rsidRDefault="00CE5A7B" w:rsidP="00CE5A7B">
      <w:pPr>
        <w:spacing w:after="0"/>
        <w:jc w:val="both"/>
        <w:rPr>
          <w:rFonts w:ascii="Aptos" w:hAnsi="Aptos" w:cstheme="minorHAnsi"/>
          <w:bCs/>
          <w:sz w:val="22"/>
          <w:szCs w:val="22"/>
        </w:rPr>
      </w:pPr>
      <w:r w:rsidRPr="009447EF">
        <w:rPr>
          <w:rFonts w:ascii="Aptos" w:hAnsi="Aptos" w:cstheme="minorHAnsi"/>
          <w:bCs/>
          <w:sz w:val="22"/>
          <w:szCs w:val="22"/>
        </w:rPr>
        <w:t>Leído y Conforme:</w:t>
      </w:r>
    </w:p>
    <w:p w14:paraId="7E796ED4" w14:textId="77777777" w:rsidR="00CE5A7B" w:rsidRPr="009447EF" w:rsidRDefault="00CE5A7B" w:rsidP="00CE5A7B">
      <w:pPr>
        <w:spacing w:after="0"/>
        <w:jc w:val="both"/>
        <w:rPr>
          <w:rFonts w:ascii="Aptos" w:hAnsi="Aptos" w:cstheme="minorHAnsi"/>
          <w:bCs/>
          <w:sz w:val="22"/>
          <w:szCs w:val="22"/>
        </w:rPr>
      </w:pPr>
    </w:p>
    <w:p w14:paraId="139DAF9B" w14:textId="77777777" w:rsidR="00CE5A7B" w:rsidRPr="009447EF" w:rsidRDefault="00CE5A7B" w:rsidP="00CE5A7B">
      <w:pPr>
        <w:spacing w:after="0"/>
        <w:jc w:val="both"/>
        <w:rPr>
          <w:rFonts w:ascii="Aptos" w:hAnsi="Aptos" w:cstheme="minorHAnsi"/>
          <w:bCs/>
          <w:sz w:val="22"/>
          <w:szCs w:val="22"/>
        </w:rPr>
      </w:pPr>
    </w:p>
    <w:p w14:paraId="23669910" w14:textId="77777777" w:rsidR="00CE5A7B" w:rsidRPr="009447EF" w:rsidRDefault="00CE5A7B" w:rsidP="00CE5A7B">
      <w:pPr>
        <w:spacing w:after="0"/>
        <w:jc w:val="both"/>
        <w:rPr>
          <w:rFonts w:ascii="Aptos" w:hAnsi="Aptos" w:cstheme="minorHAnsi"/>
          <w:bCs/>
          <w:sz w:val="22"/>
          <w:szCs w:val="22"/>
        </w:rPr>
      </w:pPr>
    </w:p>
    <w:p w14:paraId="320AC6CA" w14:textId="77777777" w:rsidR="00CE5A7B" w:rsidRPr="009447EF" w:rsidRDefault="00CE5A7B" w:rsidP="00CE5A7B">
      <w:pPr>
        <w:spacing w:after="0"/>
        <w:jc w:val="both"/>
        <w:rPr>
          <w:rFonts w:ascii="Aptos" w:hAnsi="Aptos" w:cstheme="minorHAnsi"/>
          <w:bCs/>
          <w:sz w:val="22"/>
          <w:szCs w:val="22"/>
        </w:rPr>
      </w:pPr>
    </w:p>
    <w:p w14:paraId="62791443" w14:textId="77777777" w:rsidR="00CE5A7B" w:rsidRPr="009447EF" w:rsidRDefault="00CE5A7B" w:rsidP="00CE5A7B">
      <w:pPr>
        <w:spacing w:after="0"/>
        <w:jc w:val="both"/>
        <w:rPr>
          <w:rFonts w:ascii="Aptos" w:hAnsi="Aptos" w:cstheme="minorHAnsi"/>
          <w:bCs/>
          <w:sz w:val="22"/>
          <w:szCs w:val="22"/>
        </w:rPr>
      </w:pPr>
    </w:p>
    <w:p w14:paraId="5A0B4939" w14:textId="77777777" w:rsidR="00CE5A7B" w:rsidRPr="009447EF" w:rsidRDefault="00CE5A7B" w:rsidP="00CE5A7B">
      <w:pPr>
        <w:spacing w:after="0"/>
        <w:jc w:val="both"/>
        <w:rPr>
          <w:rFonts w:ascii="Aptos" w:hAnsi="Aptos" w:cstheme="minorHAnsi"/>
          <w:bCs/>
          <w:sz w:val="22"/>
          <w:szCs w:val="22"/>
        </w:rPr>
      </w:pPr>
    </w:p>
    <w:p w14:paraId="7E04E559" w14:textId="77777777" w:rsidR="00CE5A7B" w:rsidRPr="009447EF" w:rsidRDefault="00260291" w:rsidP="00CE5A7B">
      <w:pPr>
        <w:spacing w:after="0"/>
        <w:jc w:val="both"/>
        <w:rPr>
          <w:rFonts w:ascii="Aptos" w:hAnsi="Aptos" w:cstheme="minorHAnsi"/>
          <w:bCs/>
          <w:sz w:val="22"/>
          <w:szCs w:val="22"/>
        </w:rPr>
      </w:pPr>
      <w:r w:rsidRPr="009447EF">
        <w:rPr>
          <w:rFonts w:ascii="Aptos" w:hAnsi="Aptos" w:cstheme="minorHAnsi"/>
          <w:bCs/>
          <w:sz w:val="22"/>
          <w:szCs w:val="22"/>
        </w:rPr>
        <w:pict w14:anchorId="2A462302">
          <v:rect id="_x0000_i1025" style="width:0;height:1.5pt" o:hralign="center" o:hrstd="t" o:hr="t" fillcolor="#a0a0a0" stroked="f"/>
        </w:pict>
      </w:r>
    </w:p>
    <w:p w14:paraId="1CDF78C7" w14:textId="77777777" w:rsidR="00CE5A7B" w:rsidRPr="009447EF" w:rsidRDefault="00CE5A7B" w:rsidP="00CE5A7B">
      <w:pPr>
        <w:spacing w:after="0"/>
        <w:jc w:val="both"/>
        <w:rPr>
          <w:rFonts w:ascii="Aptos" w:hAnsi="Aptos" w:cstheme="minorHAnsi"/>
          <w:bCs/>
          <w:sz w:val="22"/>
          <w:szCs w:val="22"/>
        </w:rPr>
      </w:pPr>
      <w:r w:rsidRPr="009447EF">
        <w:rPr>
          <w:rFonts w:ascii="Aptos" w:hAnsi="Aptos" w:cstheme="minorHAnsi"/>
          <w:bCs/>
          <w:sz w:val="22"/>
          <w:szCs w:val="22"/>
        </w:rPr>
        <w:t>[</w:t>
      </w:r>
      <w:proofErr w:type="spellStart"/>
      <w:r w:rsidRPr="009447EF">
        <w:rPr>
          <w:rFonts w:ascii="Aptos" w:hAnsi="Aptos" w:cstheme="minorHAnsi"/>
          <w:bCs/>
          <w:sz w:val="22"/>
          <w:szCs w:val="22"/>
        </w:rPr>
        <w:t>CLIENTES.sNombreLargo</w:t>
      </w:r>
      <w:proofErr w:type="spellEnd"/>
      <w:r w:rsidRPr="009447EF">
        <w:rPr>
          <w:rFonts w:ascii="Aptos" w:hAnsi="Aptos" w:cstheme="minorHAnsi"/>
          <w:bCs/>
          <w:sz w:val="22"/>
          <w:szCs w:val="22"/>
        </w:rPr>
        <w:t xml:space="preserve">] </w:t>
      </w:r>
    </w:p>
    <w:p w14:paraId="44291E12" w14:textId="77777777" w:rsidR="00CE5A7B" w:rsidRPr="009447EF" w:rsidRDefault="00CE5A7B" w:rsidP="00CE5A7B">
      <w:pPr>
        <w:spacing w:after="0"/>
        <w:jc w:val="both"/>
        <w:rPr>
          <w:rFonts w:ascii="Aptos" w:hAnsi="Aptos" w:cstheme="minorHAnsi"/>
          <w:sz w:val="22"/>
          <w:szCs w:val="22"/>
        </w:rPr>
      </w:pPr>
      <w:r w:rsidRPr="009447EF">
        <w:rPr>
          <w:rFonts w:ascii="Aptos" w:hAnsi="Aptos" w:cstheme="minorHAnsi"/>
          <w:sz w:val="22"/>
          <w:szCs w:val="22"/>
        </w:rPr>
        <w:t>[</w:t>
      </w:r>
      <w:proofErr w:type="spellStart"/>
      <w:r w:rsidRPr="009447EF">
        <w:rPr>
          <w:rFonts w:ascii="Aptos" w:hAnsi="Aptos" w:cstheme="minorHAnsi"/>
          <w:sz w:val="22"/>
          <w:szCs w:val="22"/>
        </w:rPr>
        <w:t>CLIENTES.sNif</w:t>
      </w:r>
      <w:proofErr w:type="spellEnd"/>
      <w:r w:rsidRPr="009447EF">
        <w:rPr>
          <w:rFonts w:ascii="Aptos" w:hAnsi="Aptos" w:cstheme="minorHAnsi"/>
          <w:sz w:val="22"/>
          <w:szCs w:val="22"/>
        </w:rPr>
        <w:t>]</w:t>
      </w:r>
    </w:p>
    <w:p w14:paraId="492F50B3" w14:textId="5DBCAD03" w:rsidR="0004524A" w:rsidRPr="009447EF" w:rsidRDefault="0004524A" w:rsidP="0004524A">
      <w:pPr>
        <w:spacing w:after="0"/>
        <w:jc w:val="both"/>
        <w:rPr>
          <w:rFonts w:ascii="Aptos" w:hAnsi="Aptos" w:cstheme="minorHAnsi"/>
          <w:sz w:val="22"/>
          <w:szCs w:val="22"/>
        </w:rPr>
      </w:pPr>
    </w:p>
    <w:sectPr w:rsidR="0004524A" w:rsidRPr="009447EF" w:rsidSect="007E0066">
      <w:headerReference w:type="default" r:id="rId10"/>
      <w:footerReference w:type="default" r:id="rId11"/>
      <w:pgSz w:w="11906" w:h="16838"/>
      <w:pgMar w:top="1417" w:right="1133" w:bottom="1417" w:left="1134" w:header="794" w:footer="90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AB16A" w14:textId="77777777" w:rsidR="00775377" w:rsidRDefault="00775377" w:rsidP="00764670">
      <w:pPr>
        <w:spacing w:after="0" w:line="240" w:lineRule="auto"/>
      </w:pPr>
      <w:r>
        <w:separator/>
      </w:r>
    </w:p>
  </w:endnote>
  <w:endnote w:type="continuationSeparator" w:id="0">
    <w:p w14:paraId="7AF7D3A7" w14:textId="77777777" w:rsidR="00775377" w:rsidRDefault="00775377" w:rsidP="0076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6A3D" w14:textId="45DE6D81" w:rsidR="00764670" w:rsidRDefault="007E0066">
    <w:pPr>
      <w:pStyle w:val="Piedepgina"/>
    </w:pPr>
    <w:r>
      <w:rPr>
        <w:noProof/>
      </w:rPr>
      <w:drawing>
        <wp:anchor distT="0" distB="0" distL="114300" distR="114300" simplePos="0" relativeHeight="251664384" behindDoc="1" locked="0" layoutInCell="1" allowOverlap="1" wp14:anchorId="011BD02C" wp14:editId="57F87F64">
          <wp:simplePos x="0" y="0"/>
          <wp:positionH relativeFrom="page">
            <wp:posOffset>0</wp:posOffset>
          </wp:positionH>
          <wp:positionV relativeFrom="paragraph">
            <wp:posOffset>-902970</wp:posOffset>
          </wp:positionV>
          <wp:extent cx="7546975" cy="159004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90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C3F2" w14:textId="77777777" w:rsidR="00775377" w:rsidRDefault="00775377" w:rsidP="00764670">
      <w:pPr>
        <w:spacing w:after="0" w:line="240" w:lineRule="auto"/>
      </w:pPr>
      <w:r>
        <w:separator/>
      </w:r>
    </w:p>
  </w:footnote>
  <w:footnote w:type="continuationSeparator" w:id="0">
    <w:p w14:paraId="1A097257" w14:textId="77777777" w:rsidR="00775377" w:rsidRDefault="00775377" w:rsidP="00764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F004" w14:textId="1D23C2A9" w:rsidR="00764670" w:rsidRDefault="000701CC">
    <w:pPr>
      <w:pStyle w:val="Encabezado"/>
    </w:pPr>
    <w:r>
      <w:rPr>
        <w:noProof/>
      </w:rPr>
      <w:drawing>
        <wp:anchor distT="0" distB="0" distL="114300" distR="114300" simplePos="0" relativeHeight="251662336" behindDoc="1" locked="0" layoutInCell="1" allowOverlap="1" wp14:anchorId="7FEF8C08" wp14:editId="0B4818ED">
          <wp:simplePos x="0" y="0"/>
          <wp:positionH relativeFrom="column">
            <wp:posOffset>-720090</wp:posOffset>
          </wp:positionH>
          <wp:positionV relativeFrom="paragraph">
            <wp:posOffset>-459105</wp:posOffset>
          </wp:positionV>
          <wp:extent cx="7874000" cy="1400175"/>
          <wp:effectExtent l="0" t="0" r="0" b="9525"/>
          <wp:wrapThrough wrapText="bothSides">
            <wp:wrapPolygon edited="0">
              <wp:start x="0" y="0"/>
              <wp:lineTo x="0" y="21453"/>
              <wp:lineTo x="1411" y="21453"/>
              <wp:lineTo x="4755" y="21453"/>
              <wp:lineTo x="5383" y="21453"/>
              <wp:lineTo x="8361" y="19396"/>
              <wp:lineTo x="15468" y="9698"/>
              <wp:lineTo x="15468" y="9404"/>
              <wp:lineTo x="21530" y="7053"/>
              <wp:lineTo x="21530"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74000" cy="1400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64BA9"/>
    <w:multiLevelType w:val="hybridMultilevel"/>
    <w:tmpl w:val="A3C069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F334BD"/>
    <w:multiLevelType w:val="multilevel"/>
    <w:tmpl w:val="CFF8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E02C4"/>
    <w:multiLevelType w:val="hybridMultilevel"/>
    <w:tmpl w:val="6CAEBF0C"/>
    <w:lvl w:ilvl="0" w:tplc="BBEE4CB0">
      <w:numFmt w:val="bullet"/>
      <w:lvlText w:val="-"/>
      <w:lvlJc w:val="left"/>
      <w:pPr>
        <w:ind w:left="720" w:hanging="360"/>
      </w:pPr>
      <w:rPr>
        <w:rFonts w:ascii="Calibri" w:eastAsia="Calibri"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4962AE"/>
    <w:multiLevelType w:val="hybridMultilevel"/>
    <w:tmpl w:val="8548BB26"/>
    <w:lvl w:ilvl="0" w:tplc="85B4BF54">
      <w:start w:val="1"/>
      <w:numFmt w:val="lowerLetter"/>
      <w:lvlText w:val="%1)"/>
      <w:lvlJc w:val="left"/>
      <w:pPr>
        <w:ind w:left="720" w:hanging="360"/>
      </w:pPr>
      <w:rPr>
        <w:rFonts w:hint="default"/>
        <w:b/>
        <w:color w:val="28A12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F46475"/>
    <w:multiLevelType w:val="multilevel"/>
    <w:tmpl w:val="8A9CF4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4274F"/>
    <w:multiLevelType w:val="hybridMultilevel"/>
    <w:tmpl w:val="506A8428"/>
    <w:lvl w:ilvl="0" w:tplc="FC18ACC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4E136B71"/>
    <w:multiLevelType w:val="hybridMultilevel"/>
    <w:tmpl w:val="F03CC61A"/>
    <w:lvl w:ilvl="0" w:tplc="17323EC2">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7A349E8"/>
    <w:multiLevelType w:val="hybridMultilevel"/>
    <w:tmpl w:val="A2E2338C"/>
    <w:lvl w:ilvl="0" w:tplc="0C0A000D">
      <w:start w:val="1"/>
      <w:numFmt w:val="bullet"/>
      <w:lvlText w:val=""/>
      <w:lvlJc w:val="left"/>
      <w:pPr>
        <w:ind w:left="1004" w:hanging="360"/>
      </w:pPr>
      <w:rPr>
        <w:rFonts w:ascii="Wingdings" w:hAnsi="Wingdings" w:hint="default"/>
      </w:rPr>
    </w:lvl>
    <w:lvl w:ilvl="1" w:tplc="0C0A000B">
      <w:start w:val="1"/>
      <w:numFmt w:val="bullet"/>
      <w:lvlText w:val=""/>
      <w:lvlJc w:val="left"/>
      <w:pPr>
        <w:ind w:left="1724" w:hanging="360"/>
      </w:pPr>
      <w:rPr>
        <w:rFonts w:ascii="Wingdings" w:hAnsi="Wingdings"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8" w15:restartNumberingAfterBreak="0">
    <w:nsid w:val="61B70027"/>
    <w:multiLevelType w:val="multilevel"/>
    <w:tmpl w:val="18805F5A"/>
    <w:lvl w:ilvl="0">
      <w:start w:val="1"/>
      <w:numFmt w:val="bullet"/>
      <w:lvlText w:val=""/>
      <w:lvlJc w:val="left"/>
      <w:pPr>
        <w:ind w:left="644" w:hanging="360"/>
      </w:pPr>
      <w:rPr>
        <w:rFonts w:ascii="Symbol" w:hAnsi="Symbol" w:hint="default"/>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9" w15:restartNumberingAfterBreak="0">
    <w:nsid w:val="69227A39"/>
    <w:multiLevelType w:val="hybridMultilevel"/>
    <w:tmpl w:val="E6C00626"/>
    <w:lvl w:ilvl="0" w:tplc="3A38CFCA">
      <w:start w:val="1"/>
      <w:numFmt w:val="bullet"/>
      <w:lvlText w:val=""/>
      <w:lvlJc w:val="left"/>
      <w:pPr>
        <w:ind w:left="360" w:hanging="360"/>
      </w:pPr>
      <w:rPr>
        <w:rFonts w:ascii="Wingdings" w:hAnsi="Wingdings" w:hint="default"/>
        <w:b/>
        <w:bCs/>
        <w:color w:val="18A12D"/>
        <w:sz w:val="56"/>
        <w:szCs w:val="56"/>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6E7B409C"/>
    <w:multiLevelType w:val="hybridMultilevel"/>
    <w:tmpl w:val="3A7C39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2835EA8"/>
    <w:multiLevelType w:val="hybridMultilevel"/>
    <w:tmpl w:val="ADC2572A"/>
    <w:lvl w:ilvl="0" w:tplc="19C63B8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97677683">
    <w:abstractNumId w:val="7"/>
  </w:num>
  <w:num w:numId="2" w16cid:durableId="2114592248">
    <w:abstractNumId w:val="10"/>
  </w:num>
  <w:num w:numId="3" w16cid:durableId="1628774258">
    <w:abstractNumId w:val="4"/>
  </w:num>
  <w:num w:numId="4" w16cid:durableId="1194223990">
    <w:abstractNumId w:val="1"/>
  </w:num>
  <w:num w:numId="5" w16cid:durableId="2102869146">
    <w:abstractNumId w:val="5"/>
  </w:num>
  <w:num w:numId="6" w16cid:durableId="1207134964">
    <w:abstractNumId w:val="9"/>
  </w:num>
  <w:num w:numId="7" w16cid:durableId="804617350">
    <w:abstractNumId w:val="2"/>
  </w:num>
  <w:num w:numId="8" w16cid:durableId="120000810">
    <w:abstractNumId w:val="6"/>
  </w:num>
  <w:num w:numId="9" w16cid:durableId="468323506">
    <w:abstractNumId w:val="11"/>
  </w:num>
  <w:num w:numId="10" w16cid:durableId="1937667536">
    <w:abstractNumId w:val="8"/>
  </w:num>
  <w:num w:numId="11" w16cid:durableId="2017614335">
    <w:abstractNumId w:val="0"/>
  </w:num>
  <w:num w:numId="12" w16cid:durableId="59526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70"/>
    <w:rsid w:val="0004317F"/>
    <w:rsid w:val="00043E30"/>
    <w:rsid w:val="0004524A"/>
    <w:rsid w:val="000701CC"/>
    <w:rsid w:val="000D55E8"/>
    <w:rsid w:val="00105D82"/>
    <w:rsid w:val="0014216A"/>
    <w:rsid w:val="00196A77"/>
    <w:rsid w:val="001E3A7C"/>
    <w:rsid w:val="00224FE6"/>
    <w:rsid w:val="00294C96"/>
    <w:rsid w:val="002A2C0D"/>
    <w:rsid w:val="00316449"/>
    <w:rsid w:val="00321ED0"/>
    <w:rsid w:val="00330A64"/>
    <w:rsid w:val="00337827"/>
    <w:rsid w:val="00386D95"/>
    <w:rsid w:val="003E0203"/>
    <w:rsid w:val="00430B9E"/>
    <w:rsid w:val="00451578"/>
    <w:rsid w:val="00451879"/>
    <w:rsid w:val="00494B84"/>
    <w:rsid w:val="004A75FD"/>
    <w:rsid w:val="004C1CB3"/>
    <w:rsid w:val="00531804"/>
    <w:rsid w:val="00584314"/>
    <w:rsid w:val="00594849"/>
    <w:rsid w:val="005A6224"/>
    <w:rsid w:val="005D5204"/>
    <w:rsid w:val="0063577E"/>
    <w:rsid w:val="0064087C"/>
    <w:rsid w:val="00667E25"/>
    <w:rsid w:val="006B75A2"/>
    <w:rsid w:val="006F46FE"/>
    <w:rsid w:val="007156A6"/>
    <w:rsid w:val="00764670"/>
    <w:rsid w:val="00772FA9"/>
    <w:rsid w:val="00775377"/>
    <w:rsid w:val="0078024B"/>
    <w:rsid w:val="00780B13"/>
    <w:rsid w:val="007874A2"/>
    <w:rsid w:val="007E0066"/>
    <w:rsid w:val="0083100C"/>
    <w:rsid w:val="008B0146"/>
    <w:rsid w:val="008E3345"/>
    <w:rsid w:val="00902F29"/>
    <w:rsid w:val="00915311"/>
    <w:rsid w:val="00917CE0"/>
    <w:rsid w:val="009447EF"/>
    <w:rsid w:val="009500C8"/>
    <w:rsid w:val="009C0A48"/>
    <w:rsid w:val="00A04553"/>
    <w:rsid w:val="00AA4C0B"/>
    <w:rsid w:val="00AB2626"/>
    <w:rsid w:val="00B310B2"/>
    <w:rsid w:val="00B42824"/>
    <w:rsid w:val="00BA4808"/>
    <w:rsid w:val="00BB6614"/>
    <w:rsid w:val="00BC56D3"/>
    <w:rsid w:val="00BD0E1B"/>
    <w:rsid w:val="00C65A40"/>
    <w:rsid w:val="00C7208A"/>
    <w:rsid w:val="00CC7031"/>
    <w:rsid w:val="00CE5A7B"/>
    <w:rsid w:val="00D85C84"/>
    <w:rsid w:val="00D87E28"/>
    <w:rsid w:val="00DB2CDD"/>
    <w:rsid w:val="00DD5961"/>
    <w:rsid w:val="00E121ED"/>
    <w:rsid w:val="00E134B1"/>
    <w:rsid w:val="00E16DB2"/>
    <w:rsid w:val="00EA2C63"/>
    <w:rsid w:val="00EC281E"/>
    <w:rsid w:val="00ED6982"/>
    <w:rsid w:val="00F044E9"/>
    <w:rsid w:val="00F42F23"/>
    <w:rsid w:val="00F82F44"/>
    <w:rsid w:val="00FC5DBF"/>
    <w:rsid w:val="00FF152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8FDACA"/>
  <w15:chartTrackingRefBased/>
  <w15:docId w15:val="{939941B8-19EB-4E0D-8113-BE848A3D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70"/>
    <w:rPr>
      <w:rFonts w:ascii="Calibri Light" w:eastAsia="Calibri" w:hAnsi="Calibri Light" w:cs="Times New Roman"/>
      <w:sz w:val="28"/>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4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4670"/>
  </w:style>
  <w:style w:type="paragraph" w:styleId="Piedepgina">
    <w:name w:val="footer"/>
    <w:basedOn w:val="Normal"/>
    <w:link w:val="PiedepginaCar"/>
    <w:uiPriority w:val="99"/>
    <w:unhideWhenUsed/>
    <w:rsid w:val="00764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4670"/>
  </w:style>
  <w:style w:type="character" w:styleId="Hipervnculo">
    <w:name w:val="Hyperlink"/>
    <w:basedOn w:val="Fuentedeprrafopredeter"/>
    <w:uiPriority w:val="99"/>
    <w:unhideWhenUsed/>
    <w:rsid w:val="00764670"/>
    <w:rPr>
      <w:color w:val="0563C1" w:themeColor="hyperlink"/>
      <w:u w:val="single"/>
    </w:rPr>
  </w:style>
  <w:style w:type="character" w:styleId="Mencinsinresolver">
    <w:name w:val="Unresolved Mention"/>
    <w:basedOn w:val="Fuentedeprrafopredeter"/>
    <w:uiPriority w:val="99"/>
    <w:semiHidden/>
    <w:unhideWhenUsed/>
    <w:rsid w:val="00764670"/>
    <w:rPr>
      <w:color w:val="605E5C"/>
      <w:shd w:val="clear" w:color="auto" w:fill="E1DFDD"/>
    </w:rPr>
  </w:style>
  <w:style w:type="paragraph" w:styleId="Prrafodelista">
    <w:name w:val="List Paragraph"/>
    <w:basedOn w:val="Normal"/>
    <w:uiPriority w:val="34"/>
    <w:qFormat/>
    <w:rsid w:val="00764670"/>
    <w:pPr>
      <w:ind w:left="720"/>
      <w:contextualSpacing/>
    </w:pPr>
  </w:style>
  <w:style w:type="table" w:customStyle="1" w:styleId="Tablaconcuadrculaclara1">
    <w:name w:val="Tabla con cuadrícula clara1"/>
    <w:basedOn w:val="Tablanormal"/>
    <w:uiPriority w:val="40"/>
    <w:rsid w:val="00764670"/>
    <w:pPr>
      <w:spacing w:after="0" w:line="240" w:lineRule="auto"/>
    </w:pPr>
    <w:rPr>
      <w:rFonts w:ascii="Calibri Light" w:eastAsia="Calibri" w:hAnsi="Calibri Light" w:cs="Times New Roman"/>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DB2CDD"/>
    <w:pPr>
      <w:spacing w:after="0" w:line="240" w:lineRule="auto"/>
    </w:pPr>
    <w:rPr>
      <w:rFonts w:ascii="Calibri Light" w:eastAsia="Calibri" w:hAnsi="Calibri Light"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75FD"/>
    <w:pPr>
      <w:spacing w:before="100" w:beforeAutospacing="1" w:after="100" w:afterAutospacing="1" w:line="240" w:lineRule="auto"/>
    </w:pPr>
    <w:rPr>
      <w:rFonts w:ascii="Times New Roman" w:eastAsia="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01378">
      <w:bodyDiv w:val="1"/>
      <w:marLeft w:val="0"/>
      <w:marRight w:val="0"/>
      <w:marTop w:val="0"/>
      <w:marBottom w:val="0"/>
      <w:divBdr>
        <w:top w:val="none" w:sz="0" w:space="0" w:color="auto"/>
        <w:left w:val="none" w:sz="0" w:space="0" w:color="auto"/>
        <w:bottom w:val="none" w:sz="0" w:space="0" w:color="auto"/>
        <w:right w:val="none" w:sz="0" w:space="0" w:color="auto"/>
      </w:divBdr>
    </w:div>
    <w:div w:id="772940844">
      <w:bodyDiv w:val="1"/>
      <w:marLeft w:val="0"/>
      <w:marRight w:val="0"/>
      <w:marTop w:val="0"/>
      <w:marBottom w:val="0"/>
      <w:divBdr>
        <w:top w:val="none" w:sz="0" w:space="0" w:color="auto"/>
        <w:left w:val="none" w:sz="0" w:space="0" w:color="auto"/>
        <w:bottom w:val="none" w:sz="0" w:space="0" w:color="auto"/>
        <w:right w:val="none" w:sz="0" w:space="0" w:color="auto"/>
      </w:divBdr>
    </w:div>
    <w:div w:id="16953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93260DF20ED848A831F1308506919A" ma:contentTypeVersion="15" ma:contentTypeDescription="Crear nuevo documento." ma:contentTypeScope="" ma:versionID="efe0880536a54b19511047da5002935a">
  <xsd:schema xmlns:xsd="http://www.w3.org/2001/XMLSchema" xmlns:xs="http://www.w3.org/2001/XMLSchema" xmlns:p="http://schemas.microsoft.com/office/2006/metadata/properties" xmlns:ns2="1551cd12-b7a4-4d59-89d3-1a1ab440f6b3" xmlns:ns3="d253cf34-2ea0-4972-a4ef-c7eeca778944" targetNamespace="http://schemas.microsoft.com/office/2006/metadata/properties" ma:root="true" ma:fieldsID="5ad91f73d199c1b70dacf11a2c027248" ns2:_="" ns3:_="">
    <xsd:import namespace="1551cd12-b7a4-4d59-89d3-1a1ab440f6b3"/>
    <xsd:import namespace="d253cf34-2ea0-4972-a4ef-c7eeca7789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1cd12-b7a4-4d59-89d3-1a1ab440f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9a7d434-414d-4697-b683-fbca822bde0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3cf34-2ea0-4972-a4ef-c7eeca7789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d0ac0d-55a9-42a0-9190-f0715950d637}" ma:internalName="TaxCatchAll" ma:showField="CatchAllData" ma:web="d253cf34-2ea0-4972-a4ef-c7eeca7789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53cf34-2ea0-4972-a4ef-c7eeca778944" xsi:nil="true"/>
    <lcf76f155ced4ddcb4097134ff3c332f xmlns="1551cd12-b7a4-4d59-89d3-1a1ab440f6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894B18-8FAD-4B2B-BEBD-2F24BAF0E7A2}"/>
</file>

<file path=customXml/itemProps2.xml><?xml version="1.0" encoding="utf-8"?>
<ds:datastoreItem xmlns:ds="http://schemas.openxmlformats.org/officeDocument/2006/customXml" ds:itemID="{5576232D-54B9-442D-B63F-AB0767EBB87B}">
  <ds:schemaRefs>
    <ds:schemaRef ds:uri="http://schemas.microsoft.com/sharepoint/v3/contenttype/forms"/>
  </ds:schemaRefs>
</ds:datastoreItem>
</file>

<file path=customXml/itemProps3.xml><?xml version="1.0" encoding="utf-8"?>
<ds:datastoreItem xmlns:ds="http://schemas.openxmlformats.org/officeDocument/2006/customXml" ds:itemID="{A631BE3B-8494-41E8-9D2B-AFFDA9C8187F}">
  <ds:schemaRefs>
    <ds:schemaRef ds:uri="http://schemas.microsoft.com/office/2006/metadata/properties"/>
    <ds:schemaRef ds:uri="http://schemas.microsoft.com/office/infopath/2007/PartnerControls"/>
    <ds:schemaRef ds:uri="d253cf34-2ea0-4972-a4ef-c7eeca778944"/>
    <ds:schemaRef ds:uri="1551cd12-b7a4-4d59-89d3-1a1ab440f6b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1973</Words>
  <Characters>10856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nmarquez</dc:creator>
  <cp:keywords/>
  <dc:description/>
  <cp:lastModifiedBy>Francesc Bartrina</cp:lastModifiedBy>
  <cp:revision>2</cp:revision>
  <cp:lastPrinted>2023-01-16T12:21:00Z</cp:lastPrinted>
  <dcterms:created xsi:type="dcterms:W3CDTF">2025-07-21T14:42:00Z</dcterms:created>
  <dcterms:modified xsi:type="dcterms:W3CDTF">2025-07-21T14:42:00Z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0x010100FC93260DF20ED848A831F1308506919A</vt:lpwstr>
  </property>
  <property fmtid="{D5CDD505-2E9C-101B-9397-08002B2CF9AE}" pid="3" name="MediaServiceImageTags">
    <vt:lpwstr/>
  </property>
</Properties>
</file>